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65" w:rsidRPr="0034767E" w:rsidRDefault="002F7165" w:rsidP="002F7165">
      <w:pPr>
        <w:rPr>
          <w:color w:val="000000"/>
          <w:sz w:val="24"/>
          <w:lang w:val="es-CL" w:eastAsia="es-CL"/>
        </w:rPr>
      </w:pPr>
      <w:bookmarkStart w:id="0" w:name="_GoBack"/>
      <w:bookmarkEnd w:id="0"/>
      <w:r w:rsidRPr="0034767E">
        <w:rPr>
          <w:rFonts w:eastAsiaTheme="minorHAnsi"/>
          <w:noProof/>
          <w:lang w:val="es-CL" w:eastAsia="es-CL"/>
        </w:rPr>
        <w:drawing>
          <wp:anchor distT="0" distB="0" distL="114300" distR="114300" simplePos="0" relativeHeight="251659264" behindDoc="1" locked="0" layoutInCell="1" allowOverlap="1" wp14:anchorId="25A169F7" wp14:editId="3C6AF1F0">
            <wp:simplePos x="0" y="0"/>
            <wp:positionH relativeFrom="column">
              <wp:posOffset>35058</wp:posOffset>
            </wp:positionH>
            <wp:positionV relativeFrom="paragraph">
              <wp:posOffset>173355</wp:posOffset>
            </wp:positionV>
            <wp:extent cx="1419225" cy="1352550"/>
            <wp:effectExtent l="0" t="0" r="9525" b="0"/>
            <wp:wrapTight wrapText="bothSides">
              <wp:wrapPolygon edited="0">
                <wp:start x="0" y="0"/>
                <wp:lineTo x="0" y="21296"/>
                <wp:lineTo x="21455" y="21296"/>
                <wp:lineTo x="2145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13525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B21C4" w:rsidRDefault="005B21C4" w:rsidP="005B21C4">
      <w:pPr>
        <w:jc w:val="right"/>
        <w:rPr>
          <w:rFonts w:cs="Arial"/>
          <w:bCs/>
          <w:lang w:val="fr-FR"/>
        </w:rPr>
      </w:pPr>
    </w:p>
    <w:p w:rsidR="005B21C4" w:rsidRPr="005B21C4" w:rsidRDefault="005B21C4" w:rsidP="005B21C4">
      <w:pPr>
        <w:jc w:val="right"/>
        <w:rPr>
          <w:rFonts w:cs="Arial"/>
          <w:bCs/>
          <w:lang w:val="fr-FR"/>
        </w:rPr>
      </w:pPr>
      <w:r w:rsidRPr="005B21C4">
        <w:rPr>
          <w:rFonts w:cs="Arial"/>
          <w:bCs/>
          <w:lang w:val="fr-FR"/>
        </w:rPr>
        <w:t>AU08-2015-02005</w:t>
      </w:r>
    </w:p>
    <w:p w:rsidR="002F7165" w:rsidRPr="0034767E" w:rsidRDefault="002F7165" w:rsidP="002F7165">
      <w:pPr>
        <w:jc w:val="right"/>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ind w:left="5664"/>
        <w:jc w:val="both"/>
        <w:rPr>
          <w:rFonts w:cs="Arial"/>
          <w:b/>
          <w:bCs/>
          <w:lang w:val="fr-FR"/>
        </w:rPr>
      </w:pPr>
      <w:r w:rsidRPr="0034767E">
        <w:rPr>
          <w:rFonts w:cs="Arial"/>
          <w:b/>
          <w:bCs/>
          <w:lang w:val="fr-FR"/>
        </w:rPr>
        <w:t xml:space="preserve">CIRCULAR N° </w:t>
      </w:r>
    </w:p>
    <w:p w:rsidR="002F7165" w:rsidRPr="0034767E" w:rsidRDefault="002F7165" w:rsidP="002F7165">
      <w:pPr>
        <w:jc w:val="right"/>
        <w:rPr>
          <w:rFonts w:cs="Arial"/>
          <w:b/>
          <w:bCs/>
          <w:lang w:val="fr-FR"/>
        </w:rPr>
      </w:pPr>
    </w:p>
    <w:p w:rsidR="002F7165" w:rsidRPr="0034767E" w:rsidRDefault="002F7165" w:rsidP="002F7165">
      <w:pPr>
        <w:ind w:left="5664"/>
        <w:jc w:val="both"/>
        <w:rPr>
          <w:rFonts w:cs="Arial"/>
          <w:b/>
          <w:bCs/>
          <w:lang w:val="fr-FR"/>
        </w:rPr>
      </w:pPr>
      <w:r w:rsidRPr="0034767E">
        <w:rPr>
          <w:rFonts w:cs="Arial"/>
          <w:b/>
          <w:bCs/>
          <w:lang w:val="fr-FR"/>
        </w:rPr>
        <w:t>SANTIAGO,</w:t>
      </w:r>
    </w:p>
    <w:p w:rsidR="002F7165" w:rsidRPr="0034767E" w:rsidRDefault="002F7165" w:rsidP="002F7165">
      <w:pPr>
        <w:jc w:val="right"/>
        <w:rPr>
          <w:rFonts w:cs="Arial"/>
          <w:b/>
          <w:bCs/>
          <w:lang w:val="fr-FR"/>
        </w:rPr>
      </w:pPr>
    </w:p>
    <w:p w:rsidR="002F7165" w:rsidRPr="0034767E" w:rsidRDefault="002F7165" w:rsidP="002F7165">
      <w:pPr>
        <w:jc w:val="right"/>
        <w:rPr>
          <w:rFonts w:cs="Arial"/>
          <w:b/>
          <w:bCs/>
          <w:lang w:val="fr-FR"/>
        </w:rPr>
      </w:pPr>
      <w:r w:rsidRPr="0034767E">
        <w:rPr>
          <w:rFonts w:cs="Arial"/>
          <w:b/>
          <w:bCs/>
          <w:lang w:val="fr-FR"/>
        </w:rPr>
        <w:tab/>
      </w:r>
      <w:r w:rsidRPr="0034767E">
        <w:rPr>
          <w:rFonts w:cs="Arial"/>
          <w:b/>
          <w:bCs/>
          <w:lang w:val="fr-FR"/>
        </w:rPr>
        <w:tab/>
      </w:r>
    </w:p>
    <w:p w:rsidR="002F7165" w:rsidRPr="0034767E" w:rsidRDefault="002F7165" w:rsidP="002F7165">
      <w:pPr>
        <w:tabs>
          <w:tab w:val="left" w:pos="4320"/>
        </w:tabs>
        <w:jc w:val="both"/>
        <w:rPr>
          <w:rFonts w:cs="Arial"/>
          <w:b/>
          <w:lang w:val="fr-FR"/>
        </w:rPr>
      </w:pPr>
    </w:p>
    <w:p w:rsidR="002F7165" w:rsidRPr="0034767E" w:rsidRDefault="002F7165" w:rsidP="002F7165">
      <w:pPr>
        <w:tabs>
          <w:tab w:val="left" w:pos="4320"/>
        </w:tabs>
        <w:jc w:val="both"/>
        <w:rPr>
          <w:rFonts w:cs="Arial"/>
          <w:b/>
        </w:rPr>
      </w:pPr>
    </w:p>
    <w:p w:rsidR="002F7165" w:rsidRPr="0034767E" w:rsidRDefault="002F7165" w:rsidP="002F7165">
      <w:pPr>
        <w:tabs>
          <w:tab w:val="left" w:pos="4320"/>
        </w:tabs>
        <w:jc w:val="both"/>
        <w:rPr>
          <w:rFonts w:cs="Arial"/>
          <w:b/>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Pr="0034767E" w:rsidRDefault="002F7165" w:rsidP="002F7165">
      <w:pPr>
        <w:jc w:val="both"/>
        <w:rPr>
          <w:rFonts w:cs="Arial"/>
        </w:rPr>
      </w:pPr>
    </w:p>
    <w:p w:rsidR="002F7165" w:rsidRDefault="002F7165" w:rsidP="002F7165">
      <w:pPr>
        <w:pStyle w:val="Textoindependiente"/>
        <w:jc w:val="center"/>
        <w:rPr>
          <w:b/>
          <w:bCs/>
          <w:lang w:val="es-ES"/>
        </w:rPr>
      </w:pPr>
      <w:r>
        <w:rPr>
          <w:b/>
          <w:bCs/>
          <w:lang w:val="es-ES"/>
        </w:rPr>
        <w:t>NORMA DE PROVISIONES POR RIESGO DE CRÉDITO APLICABLE A L</w:t>
      </w:r>
      <w:r w:rsidR="00B900B1">
        <w:rPr>
          <w:b/>
          <w:bCs/>
          <w:lang w:val="es-ES"/>
        </w:rPr>
        <w:t>AS</w:t>
      </w:r>
      <w:r>
        <w:rPr>
          <w:b/>
          <w:bCs/>
          <w:lang w:val="es-ES"/>
        </w:rPr>
        <w:t xml:space="preserve"> </w:t>
      </w:r>
      <w:r w:rsidR="00B900B1">
        <w:rPr>
          <w:b/>
          <w:bCs/>
          <w:lang w:val="es-ES"/>
        </w:rPr>
        <w:t>MUTUALIDADES DE EMPLEADORES</w:t>
      </w:r>
      <w:r>
        <w:rPr>
          <w:b/>
          <w:bCs/>
          <w:lang w:val="es-ES"/>
        </w:rPr>
        <w:t xml:space="preserve"> DEL SEGURO SOCIAL DE LA LEY N° 16.744</w:t>
      </w:r>
    </w:p>
    <w:p w:rsidR="002F7165" w:rsidRPr="0034767E" w:rsidRDefault="002F7165" w:rsidP="002F7165">
      <w:pPr>
        <w:pStyle w:val="Textoindependiente"/>
        <w:jc w:val="center"/>
        <w:rPr>
          <w:rFonts w:cs="Arial"/>
          <w:b/>
          <w:bCs/>
          <w:lang w:val="es-ES"/>
        </w:rPr>
      </w:pPr>
    </w:p>
    <w:p w:rsidR="002F7165" w:rsidRPr="0034767E" w:rsidRDefault="002F7165" w:rsidP="002F7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Arial"/>
        </w:rPr>
      </w:pPr>
    </w:p>
    <w:p w:rsidR="002F7165" w:rsidRPr="0034767E" w:rsidRDefault="002F7165" w:rsidP="002F7165">
      <w:pPr>
        <w:autoSpaceDE w:val="0"/>
        <w:autoSpaceDN w:val="0"/>
        <w:adjustRightInd w:val="0"/>
        <w:jc w:val="both"/>
        <w:rPr>
          <w:rFonts w:cs="Arial"/>
        </w:rPr>
      </w:pPr>
    </w:p>
    <w:p w:rsidR="002F7165" w:rsidRPr="0034767E" w:rsidRDefault="002F7165" w:rsidP="002F7165">
      <w:pPr>
        <w:autoSpaceDE w:val="0"/>
        <w:autoSpaceDN w:val="0"/>
        <w:adjustRightInd w:val="0"/>
        <w:jc w:val="both"/>
        <w:rPr>
          <w:rFonts w:cs="Arial"/>
        </w:rPr>
      </w:pPr>
    </w:p>
    <w:p w:rsidR="002F7165" w:rsidRPr="0034767E" w:rsidRDefault="002F7165" w:rsidP="002F7165">
      <w:pPr>
        <w:autoSpaceDE w:val="0"/>
        <w:autoSpaceDN w:val="0"/>
        <w:adjustRightInd w:val="0"/>
        <w:jc w:val="both"/>
        <w:rPr>
          <w:rFonts w:cs="Arial"/>
        </w:rPr>
      </w:pPr>
    </w:p>
    <w:p w:rsidR="002F7165" w:rsidRPr="0034767E" w:rsidRDefault="002F7165" w:rsidP="002F7165">
      <w:pPr>
        <w:autoSpaceDE w:val="0"/>
        <w:autoSpaceDN w:val="0"/>
        <w:adjustRightInd w:val="0"/>
        <w:jc w:val="both"/>
        <w:rPr>
          <w:rFonts w:cs="Arial"/>
        </w:rPr>
      </w:pPr>
    </w:p>
    <w:p w:rsidR="002F7165" w:rsidRPr="0034767E" w:rsidRDefault="002F7165" w:rsidP="002F7165">
      <w:pPr>
        <w:autoSpaceDE w:val="0"/>
        <w:autoSpaceDN w:val="0"/>
        <w:adjustRightInd w:val="0"/>
        <w:jc w:val="both"/>
        <w:rPr>
          <w:rFonts w:cs="Arial"/>
        </w:rPr>
      </w:pPr>
    </w:p>
    <w:p w:rsidR="002F7165" w:rsidRPr="0034767E" w:rsidRDefault="002F7165" w:rsidP="002F7165">
      <w:pPr>
        <w:autoSpaceDE w:val="0"/>
        <w:autoSpaceDN w:val="0"/>
        <w:adjustRightInd w:val="0"/>
        <w:jc w:val="both"/>
        <w:rPr>
          <w:rFonts w:cs="Arial"/>
        </w:rPr>
      </w:pPr>
    </w:p>
    <w:p w:rsidR="002F7165" w:rsidRPr="0034767E" w:rsidRDefault="002F7165" w:rsidP="002F7165">
      <w:pPr>
        <w:autoSpaceDE w:val="0"/>
        <w:autoSpaceDN w:val="0"/>
        <w:adjustRightInd w:val="0"/>
        <w:jc w:val="both"/>
        <w:rPr>
          <w:rFonts w:cs="Arial"/>
        </w:rPr>
      </w:pPr>
    </w:p>
    <w:p w:rsidR="002F7165" w:rsidRPr="0034767E" w:rsidRDefault="002F7165" w:rsidP="002F7165">
      <w:pPr>
        <w:autoSpaceDE w:val="0"/>
        <w:autoSpaceDN w:val="0"/>
        <w:adjustRightInd w:val="0"/>
        <w:jc w:val="both"/>
        <w:rPr>
          <w:rFonts w:cs="Arial"/>
        </w:rPr>
      </w:pPr>
    </w:p>
    <w:p w:rsidR="002F7165" w:rsidRPr="0034767E" w:rsidRDefault="002F7165" w:rsidP="002F7165">
      <w:pPr>
        <w:autoSpaceDE w:val="0"/>
        <w:autoSpaceDN w:val="0"/>
        <w:adjustRightInd w:val="0"/>
        <w:jc w:val="both"/>
        <w:rPr>
          <w:rFonts w:cs="Arial"/>
        </w:rPr>
      </w:pPr>
    </w:p>
    <w:p w:rsidR="002F7165" w:rsidRPr="0034767E" w:rsidRDefault="002F7165" w:rsidP="002F7165">
      <w:pPr>
        <w:jc w:val="both"/>
        <w:rPr>
          <w:rFonts w:cs="Arial"/>
        </w:rPr>
      </w:pPr>
      <w:r w:rsidRPr="0034767E">
        <w:rPr>
          <w:rFonts w:cs="Arial"/>
        </w:rPr>
        <w:br w:type="page"/>
      </w:r>
    </w:p>
    <w:p w:rsidR="002F7165" w:rsidRPr="0034767E" w:rsidRDefault="002F7165" w:rsidP="002F7165">
      <w:pPr>
        <w:pStyle w:val="Textoindependiente"/>
        <w:rPr>
          <w:rFonts w:cs="Arial"/>
          <w:lang w:val="es-ES"/>
        </w:rPr>
      </w:pPr>
    </w:p>
    <w:p w:rsidR="002F7165" w:rsidRPr="0034767E" w:rsidRDefault="002F7165" w:rsidP="002F7165">
      <w:pPr>
        <w:pStyle w:val="Textoindependiente"/>
        <w:rPr>
          <w:rFonts w:cs="Arial"/>
          <w:lang w:val="es-ES"/>
        </w:rPr>
      </w:pPr>
    </w:p>
    <w:p w:rsidR="002F7165" w:rsidRPr="0034767E" w:rsidRDefault="002F7165" w:rsidP="002F7165">
      <w:pPr>
        <w:pStyle w:val="Textoindependiente"/>
        <w:jc w:val="center"/>
        <w:rPr>
          <w:rFonts w:cs="Arial"/>
          <w:b/>
          <w:bCs/>
          <w:lang w:val="es-ES"/>
        </w:rPr>
      </w:pPr>
      <w:r w:rsidRPr="0034767E">
        <w:rPr>
          <w:rFonts w:cs="Arial"/>
          <w:b/>
          <w:bCs/>
          <w:lang w:val="es-ES"/>
        </w:rPr>
        <w:t>ÍNDICE</w:t>
      </w:r>
    </w:p>
    <w:p w:rsidR="002F7165" w:rsidRPr="0034767E" w:rsidRDefault="002F7165" w:rsidP="002F7165">
      <w:pPr>
        <w:pStyle w:val="Textoindependiente"/>
        <w:rPr>
          <w:rFonts w:cs="Arial"/>
          <w:szCs w:val="22"/>
          <w:lang w:val="es-ES"/>
        </w:rPr>
      </w:pPr>
    </w:p>
    <w:p w:rsidR="002F7165" w:rsidRPr="0034767E" w:rsidRDefault="002F7165" w:rsidP="002F7165">
      <w:pPr>
        <w:pStyle w:val="Textoindependiente"/>
        <w:rPr>
          <w:rFonts w:cs="Arial"/>
          <w:szCs w:val="22"/>
          <w:lang w:val="es-ES"/>
        </w:rPr>
      </w:pPr>
    </w:p>
    <w:p w:rsidR="002F7165" w:rsidRPr="0034767E" w:rsidRDefault="002F7165" w:rsidP="002F7165">
      <w:pPr>
        <w:pStyle w:val="Textoindependiente"/>
        <w:rPr>
          <w:rFonts w:cs="Arial"/>
          <w:szCs w:val="22"/>
          <w:lang w:val="es-ES"/>
        </w:rPr>
      </w:pPr>
    </w:p>
    <w:p w:rsidR="0084028B" w:rsidRDefault="006D73BD">
      <w:pPr>
        <w:pStyle w:val="TDC1"/>
        <w:rPr>
          <w:rFonts w:asciiTheme="minorHAnsi" w:eastAsiaTheme="minorEastAsia" w:hAnsiTheme="minorHAnsi" w:cstheme="minorBidi"/>
          <w:b w:val="0"/>
          <w:bCs w:val="0"/>
          <w:szCs w:val="22"/>
          <w:lang w:val="es-CL" w:eastAsia="es-CL"/>
        </w:rPr>
      </w:pPr>
      <w:r>
        <w:fldChar w:fldCharType="begin"/>
      </w:r>
      <w:r>
        <w:instrText xml:space="preserve"> TOC \o "1-3" \h \z \u </w:instrText>
      </w:r>
      <w:r>
        <w:fldChar w:fldCharType="separate"/>
      </w:r>
      <w:hyperlink w:anchor="_Toc462331281" w:history="1">
        <w:r w:rsidR="0084028B" w:rsidRPr="008979A0">
          <w:rPr>
            <w:rStyle w:val="Hipervnculo"/>
          </w:rPr>
          <w:t>I.</w:t>
        </w:r>
        <w:r w:rsidR="0084028B">
          <w:rPr>
            <w:rFonts w:asciiTheme="minorHAnsi" w:eastAsiaTheme="minorEastAsia" w:hAnsiTheme="minorHAnsi" w:cstheme="minorBidi"/>
            <w:b w:val="0"/>
            <w:bCs w:val="0"/>
            <w:szCs w:val="22"/>
            <w:lang w:val="es-CL" w:eastAsia="es-CL"/>
          </w:rPr>
          <w:tab/>
        </w:r>
        <w:r w:rsidR="0084028B" w:rsidRPr="008979A0">
          <w:rPr>
            <w:rStyle w:val="Hipervnculo"/>
          </w:rPr>
          <w:t>Antecedentes generales</w:t>
        </w:r>
        <w:r w:rsidR="0084028B">
          <w:rPr>
            <w:webHidden/>
          </w:rPr>
          <w:tab/>
        </w:r>
        <w:r w:rsidR="0084028B">
          <w:rPr>
            <w:webHidden/>
          </w:rPr>
          <w:fldChar w:fldCharType="begin"/>
        </w:r>
        <w:r w:rsidR="0084028B">
          <w:rPr>
            <w:webHidden/>
          </w:rPr>
          <w:instrText xml:space="preserve"> PAGEREF _Toc462331281 \h </w:instrText>
        </w:r>
        <w:r w:rsidR="0084028B">
          <w:rPr>
            <w:webHidden/>
          </w:rPr>
        </w:r>
        <w:r w:rsidR="0084028B">
          <w:rPr>
            <w:webHidden/>
          </w:rPr>
          <w:fldChar w:fldCharType="separate"/>
        </w:r>
        <w:r w:rsidR="00854840">
          <w:rPr>
            <w:webHidden/>
          </w:rPr>
          <w:t>3</w:t>
        </w:r>
        <w:r w:rsidR="0084028B">
          <w:rPr>
            <w:webHidden/>
          </w:rPr>
          <w:fldChar w:fldCharType="end"/>
        </w:r>
      </w:hyperlink>
    </w:p>
    <w:p w:rsidR="0084028B" w:rsidRDefault="00F10944">
      <w:pPr>
        <w:pStyle w:val="TDC1"/>
        <w:rPr>
          <w:rFonts w:asciiTheme="minorHAnsi" w:eastAsiaTheme="minorEastAsia" w:hAnsiTheme="minorHAnsi" w:cstheme="minorBidi"/>
          <w:b w:val="0"/>
          <w:bCs w:val="0"/>
          <w:szCs w:val="22"/>
          <w:lang w:val="es-CL" w:eastAsia="es-CL"/>
        </w:rPr>
      </w:pPr>
      <w:hyperlink w:anchor="_Toc462331282" w:history="1">
        <w:r w:rsidR="0084028B" w:rsidRPr="008979A0">
          <w:rPr>
            <w:rStyle w:val="Hipervnculo"/>
          </w:rPr>
          <w:t>II.</w:t>
        </w:r>
        <w:r w:rsidR="0084028B">
          <w:rPr>
            <w:rFonts w:asciiTheme="minorHAnsi" w:eastAsiaTheme="minorEastAsia" w:hAnsiTheme="minorHAnsi" w:cstheme="minorBidi"/>
            <w:b w:val="0"/>
            <w:bCs w:val="0"/>
            <w:szCs w:val="22"/>
            <w:lang w:val="es-CL" w:eastAsia="es-CL"/>
          </w:rPr>
          <w:tab/>
        </w:r>
        <w:r w:rsidR="0084028B" w:rsidRPr="008979A0">
          <w:rPr>
            <w:rStyle w:val="Hipervnculo"/>
          </w:rPr>
          <w:t>Roles y responsabilidades</w:t>
        </w:r>
        <w:r w:rsidR="0084028B">
          <w:rPr>
            <w:webHidden/>
          </w:rPr>
          <w:tab/>
        </w:r>
        <w:r w:rsidR="0084028B">
          <w:rPr>
            <w:webHidden/>
          </w:rPr>
          <w:fldChar w:fldCharType="begin"/>
        </w:r>
        <w:r w:rsidR="0084028B">
          <w:rPr>
            <w:webHidden/>
          </w:rPr>
          <w:instrText xml:space="preserve"> PAGEREF _Toc462331282 \h </w:instrText>
        </w:r>
        <w:r w:rsidR="0084028B">
          <w:rPr>
            <w:webHidden/>
          </w:rPr>
        </w:r>
        <w:r w:rsidR="0084028B">
          <w:rPr>
            <w:webHidden/>
          </w:rPr>
          <w:fldChar w:fldCharType="separate"/>
        </w:r>
        <w:r w:rsidR="00854840">
          <w:rPr>
            <w:webHidden/>
          </w:rPr>
          <w:t>3</w:t>
        </w:r>
        <w:r w:rsidR="0084028B">
          <w:rPr>
            <w:webHidden/>
          </w:rPr>
          <w:fldChar w:fldCharType="end"/>
        </w:r>
      </w:hyperlink>
    </w:p>
    <w:p w:rsidR="0084028B" w:rsidRDefault="00F10944">
      <w:pPr>
        <w:pStyle w:val="TDC1"/>
        <w:rPr>
          <w:rFonts w:asciiTheme="minorHAnsi" w:eastAsiaTheme="minorEastAsia" w:hAnsiTheme="minorHAnsi" w:cstheme="minorBidi"/>
          <w:b w:val="0"/>
          <w:bCs w:val="0"/>
          <w:szCs w:val="22"/>
          <w:lang w:val="es-CL" w:eastAsia="es-CL"/>
        </w:rPr>
      </w:pPr>
      <w:hyperlink w:anchor="_Toc462331283" w:history="1">
        <w:r w:rsidR="0084028B" w:rsidRPr="008979A0">
          <w:rPr>
            <w:rStyle w:val="Hipervnculo"/>
          </w:rPr>
          <w:t>III.</w:t>
        </w:r>
        <w:r w:rsidR="0084028B">
          <w:rPr>
            <w:rFonts w:asciiTheme="minorHAnsi" w:eastAsiaTheme="minorEastAsia" w:hAnsiTheme="minorHAnsi" w:cstheme="minorBidi"/>
            <w:b w:val="0"/>
            <w:bCs w:val="0"/>
            <w:szCs w:val="22"/>
            <w:lang w:val="es-CL" w:eastAsia="es-CL"/>
          </w:rPr>
          <w:tab/>
        </w:r>
        <w:r w:rsidR="0084028B" w:rsidRPr="008979A0">
          <w:rPr>
            <w:rStyle w:val="Hipervnculo"/>
          </w:rPr>
          <w:t>Provisiones por deudas no previsionales</w:t>
        </w:r>
        <w:r w:rsidR="0084028B">
          <w:rPr>
            <w:webHidden/>
          </w:rPr>
          <w:tab/>
        </w:r>
        <w:r w:rsidR="0084028B">
          <w:rPr>
            <w:webHidden/>
          </w:rPr>
          <w:fldChar w:fldCharType="begin"/>
        </w:r>
        <w:r w:rsidR="0084028B">
          <w:rPr>
            <w:webHidden/>
          </w:rPr>
          <w:instrText xml:space="preserve"> PAGEREF _Toc462331283 \h </w:instrText>
        </w:r>
        <w:r w:rsidR="0084028B">
          <w:rPr>
            <w:webHidden/>
          </w:rPr>
        </w:r>
        <w:r w:rsidR="0084028B">
          <w:rPr>
            <w:webHidden/>
          </w:rPr>
          <w:fldChar w:fldCharType="separate"/>
        </w:r>
        <w:r w:rsidR="00854840">
          <w:rPr>
            <w:webHidden/>
          </w:rPr>
          <w:t>3</w:t>
        </w:r>
        <w:r w:rsidR="0084028B">
          <w:rPr>
            <w:webHidden/>
          </w:rPr>
          <w:fldChar w:fldCharType="end"/>
        </w:r>
      </w:hyperlink>
    </w:p>
    <w:p w:rsidR="0084028B" w:rsidRDefault="00F10944">
      <w:pPr>
        <w:pStyle w:val="TDC2"/>
        <w:rPr>
          <w:rFonts w:asciiTheme="minorHAnsi" w:eastAsiaTheme="minorEastAsia" w:hAnsiTheme="minorHAnsi" w:cstheme="minorBidi"/>
          <w:szCs w:val="22"/>
          <w:lang w:val="es-CL" w:eastAsia="es-CL"/>
        </w:rPr>
      </w:pPr>
      <w:hyperlink w:anchor="_Toc462331284" w:history="1">
        <w:r w:rsidR="0084028B" w:rsidRPr="008979A0">
          <w:rPr>
            <w:rStyle w:val="Hipervnculo"/>
          </w:rPr>
          <w:t>III.1.</w:t>
        </w:r>
        <w:r w:rsidR="0084028B">
          <w:rPr>
            <w:rFonts w:asciiTheme="minorHAnsi" w:eastAsiaTheme="minorEastAsia" w:hAnsiTheme="minorHAnsi" w:cstheme="minorBidi"/>
            <w:szCs w:val="22"/>
            <w:lang w:val="es-CL" w:eastAsia="es-CL"/>
          </w:rPr>
          <w:tab/>
        </w:r>
        <w:r w:rsidR="0084028B" w:rsidRPr="008979A0">
          <w:rPr>
            <w:rStyle w:val="Hipervnculo"/>
          </w:rPr>
          <w:t>Clasificación de riesgo de la cartera por deudas no previsionales</w:t>
        </w:r>
        <w:r w:rsidR="0084028B">
          <w:rPr>
            <w:webHidden/>
          </w:rPr>
          <w:tab/>
        </w:r>
        <w:r w:rsidR="0084028B">
          <w:rPr>
            <w:webHidden/>
          </w:rPr>
          <w:fldChar w:fldCharType="begin"/>
        </w:r>
        <w:r w:rsidR="0084028B">
          <w:rPr>
            <w:webHidden/>
          </w:rPr>
          <w:instrText xml:space="preserve"> PAGEREF _Toc462331284 \h </w:instrText>
        </w:r>
        <w:r w:rsidR="0084028B">
          <w:rPr>
            <w:webHidden/>
          </w:rPr>
        </w:r>
        <w:r w:rsidR="0084028B">
          <w:rPr>
            <w:webHidden/>
          </w:rPr>
          <w:fldChar w:fldCharType="separate"/>
        </w:r>
        <w:r w:rsidR="00854840">
          <w:rPr>
            <w:webHidden/>
          </w:rPr>
          <w:t>4</w:t>
        </w:r>
        <w:r w:rsidR="0084028B">
          <w:rPr>
            <w:webHidden/>
          </w:rPr>
          <w:fldChar w:fldCharType="end"/>
        </w:r>
      </w:hyperlink>
    </w:p>
    <w:p w:rsidR="0084028B" w:rsidRDefault="00F10944">
      <w:pPr>
        <w:pStyle w:val="TDC2"/>
        <w:rPr>
          <w:rFonts w:asciiTheme="minorHAnsi" w:eastAsiaTheme="minorEastAsia" w:hAnsiTheme="minorHAnsi" w:cstheme="minorBidi"/>
          <w:szCs w:val="22"/>
          <w:lang w:val="es-CL" w:eastAsia="es-CL"/>
        </w:rPr>
      </w:pPr>
      <w:hyperlink w:anchor="_Toc462331285" w:history="1">
        <w:r w:rsidR="0084028B" w:rsidRPr="008979A0">
          <w:rPr>
            <w:rStyle w:val="Hipervnculo"/>
          </w:rPr>
          <w:t>III.2.</w:t>
        </w:r>
        <w:r w:rsidR="0084028B">
          <w:rPr>
            <w:rFonts w:asciiTheme="minorHAnsi" w:eastAsiaTheme="minorEastAsia" w:hAnsiTheme="minorHAnsi" w:cstheme="minorBidi"/>
            <w:szCs w:val="22"/>
            <w:lang w:val="es-CL" w:eastAsia="es-CL"/>
          </w:rPr>
          <w:tab/>
        </w:r>
        <w:r w:rsidR="0084028B" w:rsidRPr="008979A0">
          <w:rPr>
            <w:rStyle w:val="Hipervnculo"/>
          </w:rPr>
          <w:t>Provisiones por deudas no previsionales</w:t>
        </w:r>
        <w:r w:rsidR="0084028B">
          <w:rPr>
            <w:webHidden/>
          </w:rPr>
          <w:tab/>
        </w:r>
        <w:r w:rsidR="0084028B">
          <w:rPr>
            <w:webHidden/>
          </w:rPr>
          <w:fldChar w:fldCharType="begin"/>
        </w:r>
        <w:r w:rsidR="0084028B">
          <w:rPr>
            <w:webHidden/>
          </w:rPr>
          <w:instrText xml:space="preserve"> PAGEREF _Toc462331285 \h </w:instrText>
        </w:r>
        <w:r w:rsidR="0084028B">
          <w:rPr>
            <w:webHidden/>
          </w:rPr>
        </w:r>
        <w:r w:rsidR="0084028B">
          <w:rPr>
            <w:webHidden/>
          </w:rPr>
          <w:fldChar w:fldCharType="separate"/>
        </w:r>
        <w:r w:rsidR="00854840">
          <w:rPr>
            <w:webHidden/>
          </w:rPr>
          <w:t>4</w:t>
        </w:r>
        <w:r w:rsidR="0084028B">
          <w:rPr>
            <w:webHidden/>
          </w:rPr>
          <w:fldChar w:fldCharType="end"/>
        </w:r>
      </w:hyperlink>
    </w:p>
    <w:p w:rsidR="0084028B" w:rsidRDefault="00F10944">
      <w:pPr>
        <w:pStyle w:val="TDC1"/>
        <w:rPr>
          <w:rFonts w:asciiTheme="minorHAnsi" w:eastAsiaTheme="minorEastAsia" w:hAnsiTheme="minorHAnsi" w:cstheme="minorBidi"/>
          <w:b w:val="0"/>
          <w:bCs w:val="0"/>
          <w:szCs w:val="22"/>
          <w:lang w:val="es-CL" w:eastAsia="es-CL"/>
        </w:rPr>
      </w:pPr>
      <w:hyperlink w:anchor="_Toc462331286" w:history="1">
        <w:r w:rsidR="0084028B" w:rsidRPr="008979A0">
          <w:rPr>
            <w:rStyle w:val="Hipervnculo"/>
          </w:rPr>
          <w:t>IV.</w:t>
        </w:r>
        <w:r w:rsidR="0084028B">
          <w:rPr>
            <w:rFonts w:asciiTheme="minorHAnsi" w:eastAsiaTheme="minorEastAsia" w:hAnsiTheme="minorHAnsi" w:cstheme="minorBidi"/>
            <w:b w:val="0"/>
            <w:bCs w:val="0"/>
            <w:szCs w:val="22"/>
            <w:lang w:val="es-CL" w:eastAsia="es-CL"/>
          </w:rPr>
          <w:tab/>
        </w:r>
        <w:r w:rsidR="0084028B" w:rsidRPr="008979A0">
          <w:rPr>
            <w:rStyle w:val="Hipervnculo"/>
          </w:rPr>
          <w:t>Provisiones por deudas previsionales</w:t>
        </w:r>
        <w:r w:rsidR="0084028B">
          <w:rPr>
            <w:webHidden/>
          </w:rPr>
          <w:tab/>
        </w:r>
        <w:r w:rsidR="0084028B">
          <w:rPr>
            <w:webHidden/>
          </w:rPr>
          <w:fldChar w:fldCharType="begin"/>
        </w:r>
        <w:r w:rsidR="0084028B">
          <w:rPr>
            <w:webHidden/>
          </w:rPr>
          <w:instrText xml:space="preserve"> PAGEREF _Toc462331286 \h </w:instrText>
        </w:r>
        <w:r w:rsidR="0084028B">
          <w:rPr>
            <w:webHidden/>
          </w:rPr>
        </w:r>
        <w:r w:rsidR="0084028B">
          <w:rPr>
            <w:webHidden/>
          </w:rPr>
          <w:fldChar w:fldCharType="separate"/>
        </w:r>
        <w:r w:rsidR="00854840">
          <w:rPr>
            <w:webHidden/>
          </w:rPr>
          <w:t>5</w:t>
        </w:r>
        <w:r w:rsidR="0084028B">
          <w:rPr>
            <w:webHidden/>
          </w:rPr>
          <w:fldChar w:fldCharType="end"/>
        </w:r>
      </w:hyperlink>
    </w:p>
    <w:p w:rsidR="0084028B" w:rsidRDefault="00F10944">
      <w:pPr>
        <w:pStyle w:val="TDC1"/>
        <w:rPr>
          <w:rFonts w:asciiTheme="minorHAnsi" w:eastAsiaTheme="minorEastAsia" w:hAnsiTheme="minorHAnsi" w:cstheme="minorBidi"/>
          <w:b w:val="0"/>
          <w:bCs w:val="0"/>
          <w:szCs w:val="22"/>
          <w:lang w:val="es-CL" w:eastAsia="es-CL"/>
        </w:rPr>
      </w:pPr>
      <w:hyperlink w:anchor="_Toc462331287" w:history="1">
        <w:r w:rsidR="0084028B" w:rsidRPr="008979A0">
          <w:rPr>
            <w:rStyle w:val="Hipervnculo"/>
          </w:rPr>
          <w:t>V.</w:t>
        </w:r>
        <w:r w:rsidR="0084028B">
          <w:rPr>
            <w:rFonts w:asciiTheme="minorHAnsi" w:eastAsiaTheme="minorEastAsia" w:hAnsiTheme="minorHAnsi" w:cstheme="minorBidi"/>
            <w:b w:val="0"/>
            <w:bCs w:val="0"/>
            <w:szCs w:val="22"/>
            <w:lang w:val="es-CL" w:eastAsia="es-CL"/>
          </w:rPr>
          <w:tab/>
        </w:r>
        <w:r w:rsidR="0084028B" w:rsidRPr="008979A0">
          <w:rPr>
            <w:rStyle w:val="Hipervnculo"/>
          </w:rPr>
          <w:t>Procedimiento para la declaración de incobrabilidad y posterior castigo de las deudas previsionales y no previsionales</w:t>
        </w:r>
        <w:r w:rsidR="0084028B">
          <w:rPr>
            <w:webHidden/>
          </w:rPr>
          <w:tab/>
        </w:r>
        <w:r w:rsidR="0084028B">
          <w:rPr>
            <w:webHidden/>
          </w:rPr>
          <w:fldChar w:fldCharType="begin"/>
        </w:r>
        <w:r w:rsidR="0084028B">
          <w:rPr>
            <w:webHidden/>
          </w:rPr>
          <w:instrText xml:space="preserve"> PAGEREF _Toc462331287 \h </w:instrText>
        </w:r>
        <w:r w:rsidR="0084028B">
          <w:rPr>
            <w:webHidden/>
          </w:rPr>
        </w:r>
        <w:r w:rsidR="0084028B">
          <w:rPr>
            <w:webHidden/>
          </w:rPr>
          <w:fldChar w:fldCharType="separate"/>
        </w:r>
        <w:r w:rsidR="00854840">
          <w:rPr>
            <w:webHidden/>
          </w:rPr>
          <w:t>5</w:t>
        </w:r>
        <w:r w:rsidR="0084028B">
          <w:rPr>
            <w:webHidden/>
          </w:rPr>
          <w:fldChar w:fldCharType="end"/>
        </w:r>
      </w:hyperlink>
    </w:p>
    <w:p w:rsidR="0084028B" w:rsidRDefault="00F10944">
      <w:pPr>
        <w:pStyle w:val="TDC1"/>
        <w:rPr>
          <w:rFonts w:asciiTheme="minorHAnsi" w:eastAsiaTheme="minorEastAsia" w:hAnsiTheme="minorHAnsi" w:cstheme="minorBidi"/>
          <w:b w:val="0"/>
          <w:bCs w:val="0"/>
          <w:szCs w:val="22"/>
          <w:lang w:val="es-CL" w:eastAsia="es-CL"/>
        </w:rPr>
      </w:pPr>
      <w:hyperlink w:anchor="_Toc462331288" w:history="1">
        <w:r w:rsidR="0084028B" w:rsidRPr="008979A0">
          <w:rPr>
            <w:rStyle w:val="Hipervnculo"/>
          </w:rPr>
          <w:t>VI.</w:t>
        </w:r>
        <w:r w:rsidR="0084028B">
          <w:rPr>
            <w:rFonts w:asciiTheme="minorHAnsi" w:eastAsiaTheme="minorEastAsia" w:hAnsiTheme="minorHAnsi" w:cstheme="minorBidi"/>
            <w:b w:val="0"/>
            <w:bCs w:val="0"/>
            <w:szCs w:val="22"/>
            <w:lang w:val="es-CL" w:eastAsia="es-CL"/>
          </w:rPr>
          <w:tab/>
        </w:r>
        <w:r w:rsidR="0084028B" w:rsidRPr="008979A0">
          <w:rPr>
            <w:rStyle w:val="Hipervnculo"/>
          </w:rPr>
          <w:t>Contabilización de las provisiones y los castigos</w:t>
        </w:r>
        <w:r w:rsidR="0084028B">
          <w:rPr>
            <w:webHidden/>
          </w:rPr>
          <w:tab/>
        </w:r>
        <w:r w:rsidR="0084028B">
          <w:rPr>
            <w:webHidden/>
          </w:rPr>
          <w:fldChar w:fldCharType="begin"/>
        </w:r>
        <w:r w:rsidR="0084028B">
          <w:rPr>
            <w:webHidden/>
          </w:rPr>
          <w:instrText xml:space="preserve"> PAGEREF _Toc462331288 \h </w:instrText>
        </w:r>
        <w:r w:rsidR="0084028B">
          <w:rPr>
            <w:webHidden/>
          </w:rPr>
        </w:r>
        <w:r w:rsidR="0084028B">
          <w:rPr>
            <w:webHidden/>
          </w:rPr>
          <w:fldChar w:fldCharType="separate"/>
        </w:r>
        <w:r w:rsidR="00854840">
          <w:rPr>
            <w:webHidden/>
          </w:rPr>
          <w:t>6</w:t>
        </w:r>
        <w:r w:rsidR="0084028B">
          <w:rPr>
            <w:webHidden/>
          </w:rPr>
          <w:fldChar w:fldCharType="end"/>
        </w:r>
      </w:hyperlink>
    </w:p>
    <w:p w:rsidR="0084028B" w:rsidRDefault="00F10944">
      <w:pPr>
        <w:pStyle w:val="TDC1"/>
        <w:rPr>
          <w:rFonts w:asciiTheme="minorHAnsi" w:eastAsiaTheme="minorEastAsia" w:hAnsiTheme="minorHAnsi" w:cstheme="minorBidi"/>
          <w:b w:val="0"/>
          <w:bCs w:val="0"/>
          <w:szCs w:val="22"/>
          <w:lang w:val="es-CL" w:eastAsia="es-CL"/>
        </w:rPr>
      </w:pPr>
      <w:hyperlink w:anchor="_Toc462331289" w:history="1">
        <w:r w:rsidR="0084028B" w:rsidRPr="008979A0">
          <w:rPr>
            <w:rStyle w:val="Hipervnculo"/>
          </w:rPr>
          <w:t>VII.</w:t>
        </w:r>
        <w:r w:rsidR="0084028B">
          <w:rPr>
            <w:rFonts w:asciiTheme="minorHAnsi" w:eastAsiaTheme="minorEastAsia" w:hAnsiTheme="minorHAnsi" w:cstheme="minorBidi"/>
            <w:b w:val="0"/>
            <w:bCs w:val="0"/>
            <w:szCs w:val="22"/>
            <w:lang w:val="es-CL" w:eastAsia="es-CL"/>
          </w:rPr>
          <w:tab/>
        </w:r>
        <w:r w:rsidR="0084028B" w:rsidRPr="008979A0">
          <w:rPr>
            <w:rStyle w:val="Hipervnculo"/>
          </w:rPr>
          <w:t>Cobranza judicial de las deudas previsionales y no previsionales</w:t>
        </w:r>
        <w:r w:rsidR="0084028B">
          <w:rPr>
            <w:webHidden/>
          </w:rPr>
          <w:tab/>
        </w:r>
        <w:r w:rsidR="0084028B">
          <w:rPr>
            <w:webHidden/>
          </w:rPr>
          <w:fldChar w:fldCharType="begin"/>
        </w:r>
        <w:r w:rsidR="0084028B">
          <w:rPr>
            <w:webHidden/>
          </w:rPr>
          <w:instrText xml:space="preserve"> PAGEREF _Toc462331289 \h </w:instrText>
        </w:r>
        <w:r w:rsidR="0084028B">
          <w:rPr>
            <w:webHidden/>
          </w:rPr>
        </w:r>
        <w:r w:rsidR="0084028B">
          <w:rPr>
            <w:webHidden/>
          </w:rPr>
          <w:fldChar w:fldCharType="separate"/>
        </w:r>
        <w:r w:rsidR="00854840">
          <w:rPr>
            <w:webHidden/>
          </w:rPr>
          <w:t>6</w:t>
        </w:r>
        <w:r w:rsidR="0084028B">
          <w:rPr>
            <w:webHidden/>
          </w:rPr>
          <w:fldChar w:fldCharType="end"/>
        </w:r>
      </w:hyperlink>
    </w:p>
    <w:p w:rsidR="0084028B" w:rsidRDefault="00F10944">
      <w:pPr>
        <w:pStyle w:val="TDC1"/>
        <w:rPr>
          <w:rFonts w:asciiTheme="minorHAnsi" w:eastAsiaTheme="minorEastAsia" w:hAnsiTheme="minorHAnsi" w:cstheme="minorBidi"/>
          <w:b w:val="0"/>
          <w:bCs w:val="0"/>
          <w:szCs w:val="22"/>
          <w:lang w:val="es-CL" w:eastAsia="es-CL"/>
        </w:rPr>
      </w:pPr>
      <w:hyperlink w:anchor="_Toc462331290" w:history="1">
        <w:r w:rsidR="0084028B" w:rsidRPr="008979A0">
          <w:rPr>
            <w:rStyle w:val="Hipervnculo"/>
          </w:rPr>
          <w:t>VIII.</w:t>
        </w:r>
        <w:r w:rsidR="0084028B">
          <w:rPr>
            <w:rFonts w:asciiTheme="minorHAnsi" w:eastAsiaTheme="minorEastAsia" w:hAnsiTheme="minorHAnsi" w:cstheme="minorBidi"/>
            <w:b w:val="0"/>
            <w:bCs w:val="0"/>
            <w:szCs w:val="22"/>
            <w:lang w:val="es-CL" w:eastAsia="es-CL"/>
          </w:rPr>
          <w:tab/>
        </w:r>
        <w:r w:rsidR="0084028B" w:rsidRPr="008979A0">
          <w:rPr>
            <w:rStyle w:val="Hipervnculo"/>
          </w:rPr>
          <w:t>Vigencia</w:t>
        </w:r>
        <w:r w:rsidR="0084028B">
          <w:rPr>
            <w:webHidden/>
          </w:rPr>
          <w:tab/>
        </w:r>
        <w:r w:rsidR="0084028B">
          <w:rPr>
            <w:webHidden/>
          </w:rPr>
          <w:fldChar w:fldCharType="begin"/>
        </w:r>
        <w:r w:rsidR="0084028B">
          <w:rPr>
            <w:webHidden/>
          </w:rPr>
          <w:instrText xml:space="preserve"> PAGEREF _Toc462331290 \h </w:instrText>
        </w:r>
        <w:r w:rsidR="0084028B">
          <w:rPr>
            <w:webHidden/>
          </w:rPr>
        </w:r>
        <w:r w:rsidR="0084028B">
          <w:rPr>
            <w:webHidden/>
          </w:rPr>
          <w:fldChar w:fldCharType="separate"/>
        </w:r>
        <w:r w:rsidR="00854840">
          <w:rPr>
            <w:webHidden/>
          </w:rPr>
          <w:t>6</w:t>
        </w:r>
        <w:r w:rsidR="0084028B">
          <w:rPr>
            <w:webHidden/>
          </w:rPr>
          <w:fldChar w:fldCharType="end"/>
        </w:r>
      </w:hyperlink>
    </w:p>
    <w:p w:rsidR="002F7165" w:rsidRPr="0034767E" w:rsidRDefault="006D73BD" w:rsidP="001F2B0A">
      <w:pPr>
        <w:pStyle w:val="Textoindependiente"/>
        <w:tabs>
          <w:tab w:val="left" w:pos="709"/>
        </w:tabs>
        <w:ind w:firstLine="1"/>
        <w:rPr>
          <w:rFonts w:cs="Arial"/>
          <w:szCs w:val="22"/>
          <w:lang w:val="es-ES"/>
        </w:rPr>
      </w:pPr>
      <w:r>
        <w:rPr>
          <w:b/>
          <w:bCs/>
          <w:noProof/>
          <w:lang w:val="es-ES"/>
        </w:rPr>
        <w:fldChar w:fldCharType="end"/>
      </w:r>
    </w:p>
    <w:p w:rsidR="002F7165" w:rsidRDefault="002F7165" w:rsidP="002F7165">
      <w:pPr>
        <w:pStyle w:val="Ttulo1"/>
        <w:numPr>
          <w:ilvl w:val="0"/>
          <w:numId w:val="0"/>
        </w:numPr>
        <w:ind w:left="432" w:hanging="432"/>
        <w:rPr>
          <w:rFonts w:cs="Arial"/>
          <w:b w:val="0"/>
          <w:szCs w:val="22"/>
          <w:lang w:val="es-ES"/>
        </w:rPr>
      </w:pPr>
      <w:r w:rsidRPr="0034767E">
        <w:rPr>
          <w:rFonts w:cs="Arial"/>
          <w:b w:val="0"/>
          <w:szCs w:val="22"/>
          <w:lang w:val="es-ES"/>
        </w:rPr>
        <w:br w:type="page"/>
      </w:r>
    </w:p>
    <w:p w:rsidR="002F7165" w:rsidRPr="00A62C78" w:rsidRDefault="002F7165" w:rsidP="002F7165">
      <w:pPr>
        <w:autoSpaceDE w:val="0"/>
        <w:autoSpaceDN w:val="0"/>
        <w:adjustRightInd w:val="0"/>
        <w:jc w:val="both"/>
      </w:pPr>
      <w:r w:rsidRPr="00A62C78">
        <w:lastRenderedPageBreak/>
        <w:t xml:space="preserve">Esta Superintendencia, en ejercicio de sus </w:t>
      </w:r>
      <w:r>
        <w:t>atribuciones legales</w:t>
      </w:r>
      <w:r w:rsidRPr="00A62C78">
        <w:t xml:space="preserve"> que le confieren las Leyes </w:t>
      </w:r>
      <w:proofErr w:type="spellStart"/>
      <w:r w:rsidRPr="00A62C78">
        <w:t>Nºs</w:t>
      </w:r>
      <w:proofErr w:type="spellEnd"/>
      <w:r w:rsidRPr="00A62C78">
        <w:t xml:space="preserve">. 16.395 y 16.744, ha estimado pertinente impartir las siguientes instrucciones referidas </w:t>
      </w:r>
      <w:r>
        <w:t>a las provisiones que</w:t>
      </w:r>
      <w:r w:rsidRPr="00A62C78">
        <w:t xml:space="preserve"> </w:t>
      </w:r>
      <w:r w:rsidR="00B900B1">
        <w:t>las Mutualidades de Empleadores</w:t>
      </w:r>
      <w:r>
        <w:t xml:space="preserve"> del Seguro Social de</w:t>
      </w:r>
      <w:r w:rsidRPr="00A62C78">
        <w:t xml:space="preserve"> la Ley </w:t>
      </w:r>
      <w:r>
        <w:t xml:space="preserve">N° </w:t>
      </w:r>
      <w:r w:rsidRPr="00A62C78">
        <w:t>16.744</w:t>
      </w:r>
      <w:r>
        <w:t xml:space="preserve"> deben constituir para cubrir eventuales pérdidas derivadas </w:t>
      </w:r>
      <w:r w:rsidR="00170722">
        <w:t>de</w:t>
      </w:r>
      <w:r w:rsidR="000042D8">
        <w:t>l no pago de</w:t>
      </w:r>
      <w:r w:rsidR="00170722">
        <w:t xml:space="preserve"> las deudas previsionales y no previsionales</w:t>
      </w:r>
      <w:r w:rsidR="000042D8">
        <w:t xml:space="preserve">, junto con el procedimiento del posterior castigo de </w:t>
      </w:r>
      <w:r w:rsidR="00B900B1">
        <w:t>las referidas</w:t>
      </w:r>
      <w:r w:rsidR="000042D8">
        <w:t xml:space="preserve"> deudas</w:t>
      </w:r>
      <w:r w:rsidRPr="00A62C78">
        <w:t xml:space="preserve">. </w:t>
      </w:r>
    </w:p>
    <w:p w:rsidR="002F7165" w:rsidRPr="00A62C78" w:rsidRDefault="002F7165" w:rsidP="002F7165">
      <w:pPr>
        <w:autoSpaceDE w:val="0"/>
        <w:autoSpaceDN w:val="0"/>
        <w:adjustRightInd w:val="0"/>
        <w:jc w:val="both"/>
        <w:rPr>
          <w:highlight w:val="yellow"/>
        </w:rPr>
      </w:pPr>
    </w:p>
    <w:p w:rsidR="002F7165" w:rsidRPr="00A62C78" w:rsidRDefault="002F7165" w:rsidP="002F7165">
      <w:pPr>
        <w:autoSpaceDE w:val="0"/>
        <w:autoSpaceDN w:val="0"/>
        <w:adjustRightInd w:val="0"/>
        <w:jc w:val="both"/>
        <w:rPr>
          <w:highlight w:val="yellow"/>
        </w:rPr>
      </w:pPr>
    </w:p>
    <w:p w:rsidR="002F7165" w:rsidRPr="00A62C78" w:rsidRDefault="002F7165" w:rsidP="002F7165">
      <w:pPr>
        <w:pStyle w:val="Ttulo1"/>
        <w:numPr>
          <w:ilvl w:val="0"/>
          <w:numId w:val="2"/>
        </w:numPr>
        <w:ind w:left="426" w:hanging="426"/>
        <w:rPr>
          <w:lang w:val="es-ES"/>
        </w:rPr>
      </w:pPr>
      <w:bookmarkStart w:id="1" w:name="_Toc345520184"/>
      <w:bookmarkStart w:id="2" w:name="_Toc461613616"/>
      <w:bookmarkStart w:id="3" w:name="_Toc462331281"/>
      <w:r w:rsidRPr="00A62C78">
        <w:rPr>
          <w:lang w:val="es-ES"/>
        </w:rPr>
        <w:t xml:space="preserve">Antecedentes </w:t>
      </w:r>
      <w:bookmarkEnd w:id="1"/>
      <w:r>
        <w:rPr>
          <w:lang w:val="es-ES"/>
        </w:rPr>
        <w:t>g</w:t>
      </w:r>
      <w:r w:rsidRPr="00A62C78">
        <w:rPr>
          <w:lang w:val="es-ES"/>
        </w:rPr>
        <w:t>enerales</w:t>
      </w:r>
      <w:bookmarkEnd w:id="2"/>
      <w:bookmarkEnd w:id="3"/>
    </w:p>
    <w:p w:rsidR="002F7165" w:rsidRPr="00A62C78" w:rsidRDefault="002F7165" w:rsidP="002F7165">
      <w:pPr>
        <w:autoSpaceDE w:val="0"/>
        <w:autoSpaceDN w:val="0"/>
        <w:adjustRightInd w:val="0"/>
        <w:jc w:val="both"/>
      </w:pPr>
    </w:p>
    <w:p w:rsidR="006B0703" w:rsidRDefault="006B0703" w:rsidP="006B0703">
      <w:pPr>
        <w:autoSpaceDE w:val="0"/>
        <w:autoSpaceDN w:val="0"/>
        <w:adjustRightInd w:val="0"/>
        <w:ind w:left="426"/>
        <w:jc w:val="both"/>
      </w:pPr>
      <w:r>
        <w:t xml:space="preserve">En el marco de la implementación de un modelo de </w:t>
      </w:r>
      <w:r w:rsidR="00430A99">
        <w:t>Supervisión</w:t>
      </w:r>
      <w:r>
        <w:t xml:space="preserve"> </w:t>
      </w:r>
      <w:r w:rsidR="00430A99">
        <w:t>B</w:t>
      </w:r>
      <w:r>
        <w:t xml:space="preserve">asado en </w:t>
      </w:r>
      <w:r w:rsidR="00430A99">
        <w:t>R</w:t>
      </w:r>
      <w:r>
        <w:t>iesgos</w:t>
      </w:r>
      <w:r w:rsidR="008D1739">
        <w:t xml:space="preserve"> impulsado por esta Superintendencia mediante la Circular N° 3.136, de 2015</w:t>
      </w:r>
      <w:r>
        <w:t xml:space="preserve">, </w:t>
      </w:r>
      <w:r w:rsidR="00430A99">
        <w:t>corresponde</w:t>
      </w:r>
      <w:r>
        <w:t xml:space="preserve"> que </w:t>
      </w:r>
      <w:r w:rsidR="00A411BC">
        <w:t>las Mutualidades de Empleadores</w:t>
      </w:r>
      <w:r w:rsidR="002F7165">
        <w:t xml:space="preserve"> de</w:t>
      </w:r>
      <w:r w:rsidR="00B900B1">
        <w:t>l Seguro Social de</w:t>
      </w:r>
      <w:r w:rsidR="002F7165">
        <w:t xml:space="preserve"> la Ley N° 16.744</w:t>
      </w:r>
      <w:r w:rsidR="00A411BC">
        <w:t xml:space="preserve">, en </w:t>
      </w:r>
      <w:r w:rsidR="000A67B1">
        <w:t>adelante</w:t>
      </w:r>
      <w:r w:rsidR="00A411BC">
        <w:t xml:space="preserve"> Mutualidades,</w:t>
      </w:r>
      <w:r w:rsidR="002F7165">
        <w:t xml:space="preserve"> </w:t>
      </w:r>
      <w:r w:rsidR="00430A99">
        <w:t>migren desde un modelo de pérdida incurrida a uno de pérdida esperada, de manera de constituir anticipadamente</w:t>
      </w:r>
      <w:r>
        <w:t xml:space="preserve"> las provisiones necesarias para cubrir eventuales pérdidas producto del no pago </w:t>
      </w:r>
      <w:r w:rsidR="002E00D9">
        <w:t>de las deudas previsionales y no previsionales</w:t>
      </w:r>
      <w:r>
        <w:t>.</w:t>
      </w:r>
    </w:p>
    <w:p w:rsidR="006B0703" w:rsidRDefault="006B0703" w:rsidP="006B0703">
      <w:pPr>
        <w:autoSpaceDE w:val="0"/>
        <w:autoSpaceDN w:val="0"/>
        <w:adjustRightInd w:val="0"/>
        <w:ind w:left="426"/>
        <w:jc w:val="both"/>
      </w:pPr>
    </w:p>
    <w:p w:rsidR="006B0703" w:rsidRDefault="006B0703" w:rsidP="006B0703">
      <w:pPr>
        <w:autoSpaceDE w:val="0"/>
        <w:autoSpaceDN w:val="0"/>
        <w:adjustRightInd w:val="0"/>
        <w:ind w:left="426"/>
        <w:jc w:val="both"/>
      </w:pPr>
      <w:r>
        <w:t xml:space="preserve">Al respecto, </w:t>
      </w:r>
      <w:r w:rsidR="00430A99">
        <w:t>el modelo de provisiones que se instruye tiene los incentivos para</w:t>
      </w:r>
      <w:r>
        <w:t xml:space="preserve"> que </w:t>
      </w:r>
      <w:r w:rsidR="00A411BC">
        <w:t>las Mutualidades</w:t>
      </w:r>
      <w:r>
        <w:t xml:space="preserve"> </w:t>
      </w:r>
      <w:r w:rsidR="00430A99">
        <w:t>diseñen e implementen</w:t>
      </w:r>
      <w:r>
        <w:t xml:space="preserve"> mecanismos que permitan evaluar y monitorear permanentemente su cartera de deudores, con el objeto de foca</w:t>
      </w:r>
      <w:r w:rsidR="008D1739">
        <w:t>lizar sus esfuerzos de cobranza</w:t>
      </w:r>
      <w:r>
        <w:t xml:space="preserve"> hacia aquellos grupos que presenten mayores niveles de morosidad.</w:t>
      </w:r>
    </w:p>
    <w:p w:rsidR="006B0703" w:rsidRDefault="006B0703" w:rsidP="002F7165">
      <w:pPr>
        <w:autoSpaceDE w:val="0"/>
        <w:autoSpaceDN w:val="0"/>
        <w:adjustRightInd w:val="0"/>
        <w:ind w:left="426"/>
        <w:jc w:val="both"/>
      </w:pPr>
    </w:p>
    <w:p w:rsidR="006B0703" w:rsidRDefault="006B0703" w:rsidP="002F7165">
      <w:pPr>
        <w:autoSpaceDE w:val="0"/>
        <w:autoSpaceDN w:val="0"/>
        <w:adjustRightInd w:val="0"/>
        <w:ind w:left="426"/>
        <w:jc w:val="both"/>
      </w:pPr>
      <w:r>
        <w:t xml:space="preserve">Por lo anterior, es necesario que el Directorio y la alta administración aseguren que se desarrollen los procesos necesarios </w:t>
      </w:r>
      <w:r w:rsidR="00430A99">
        <w:t>según</w:t>
      </w:r>
      <w:r>
        <w:t xml:space="preserve"> la complejidad y tamaño de cada </w:t>
      </w:r>
      <w:r w:rsidR="00A411BC">
        <w:t>Mutualidad</w:t>
      </w:r>
      <w:r>
        <w:t>, para la determinación del nivel de provisiones suficientes para sustentar las pérdidas atribuibles al deterioro de la cartera de deudores</w:t>
      </w:r>
      <w:r w:rsidR="00483554">
        <w:t>, en concordancia</w:t>
      </w:r>
      <w:r>
        <w:t xml:space="preserve"> con </w:t>
      </w:r>
      <w:r w:rsidR="00430A99">
        <w:t xml:space="preserve">la tolerancia al riesgo contenida en </w:t>
      </w:r>
      <w:r>
        <w:t xml:space="preserve">las políticas y manuales que ha definido </w:t>
      </w:r>
      <w:r w:rsidR="008D1739">
        <w:t>la entidad</w:t>
      </w:r>
      <w:r>
        <w:t xml:space="preserve"> para la gestión del riesgo de crédito.</w:t>
      </w:r>
    </w:p>
    <w:p w:rsidR="006B0703" w:rsidRDefault="006B0703" w:rsidP="002F7165">
      <w:pPr>
        <w:autoSpaceDE w:val="0"/>
        <w:autoSpaceDN w:val="0"/>
        <w:adjustRightInd w:val="0"/>
        <w:ind w:left="426"/>
        <w:jc w:val="both"/>
      </w:pPr>
    </w:p>
    <w:p w:rsidR="00AF06D2" w:rsidRDefault="00AF06D2" w:rsidP="002F7165">
      <w:pPr>
        <w:autoSpaceDE w:val="0"/>
        <w:autoSpaceDN w:val="0"/>
        <w:adjustRightInd w:val="0"/>
        <w:ind w:left="426"/>
        <w:jc w:val="both"/>
      </w:pPr>
    </w:p>
    <w:p w:rsidR="007C3868" w:rsidRDefault="007C3868" w:rsidP="007C3868">
      <w:pPr>
        <w:pStyle w:val="Ttulo1"/>
        <w:numPr>
          <w:ilvl w:val="0"/>
          <w:numId w:val="2"/>
        </w:numPr>
        <w:ind w:left="426" w:hanging="426"/>
        <w:rPr>
          <w:lang w:val="es-ES"/>
        </w:rPr>
      </w:pPr>
      <w:bookmarkStart w:id="4" w:name="_Toc461613617"/>
      <w:bookmarkStart w:id="5" w:name="_Toc462331282"/>
      <w:r>
        <w:rPr>
          <w:lang w:val="es-ES"/>
        </w:rPr>
        <w:t>Roles y responsabilidades</w:t>
      </w:r>
      <w:bookmarkEnd w:id="4"/>
      <w:bookmarkEnd w:id="5"/>
    </w:p>
    <w:p w:rsidR="007C3868" w:rsidRDefault="007C3868" w:rsidP="007C3868"/>
    <w:p w:rsidR="003C0BD4" w:rsidRDefault="00E25B73" w:rsidP="003C0BD4">
      <w:pPr>
        <w:ind w:left="426"/>
        <w:jc w:val="both"/>
      </w:pPr>
      <w:r>
        <w:t xml:space="preserve">El Directorio de la </w:t>
      </w:r>
      <w:r w:rsidR="003C0BD4">
        <w:t xml:space="preserve">Mutualidad es responsable que la entidad cuente con un nivel de provisiones adecuado de acuerdo </w:t>
      </w:r>
      <w:r w:rsidR="00B900B1">
        <w:t>a la morosidad que presente</w:t>
      </w:r>
      <w:r w:rsidR="003C0BD4">
        <w:t xml:space="preserve"> la cartera </w:t>
      </w:r>
      <w:r w:rsidR="002E00D9">
        <w:t>de deudores previsionales y no previsionales</w:t>
      </w:r>
      <w:r w:rsidR="003C0BD4">
        <w:t>. Asimismo, será responsable del cumplimiento de</w:t>
      </w:r>
      <w:r w:rsidR="00B900B1">
        <w:t xml:space="preserve"> la totalidad de</w:t>
      </w:r>
      <w:r w:rsidR="003C0BD4">
        <w:t xml:space="preserve"> los requerimientos normativos dispuestos en la presente Circular.</w:t>
      </w:r>
    </w:p>
    <w:p w:rsidR="003C0BD4" w:rsidRDefault="003C0BD4" w:rsidP="003C0BD4">
      <w:pPr>
        <w:ind w:left="426"/>
        <w:jc w:val="both"/>
      </w:pPr>
    </w:p>
    <w:p w:rsidR="006323DC" w:rsidRDefault="003C0BD4" w:rsidP="003C0BD4">
      <w:pPr>
        <w:ind w:left="426"/>
        <w:jc w:val="both"/>
      </w:pPr>
      <w:r>
        <w:t>Por otra parte, l</w:t>
      </w:r>
      <w:r w:rsidR="007C3868">
        <w:t>a Gerencia General de la Mutualidad deberá asegurarse que el modelo de provisiones</w:t>
      </w:r>
      <w:r w:rsidR="005B5FEA">
        <w:t xml:space="preserve"> y </w:t>
      </w:r>
      <w:r w:rsidR="00B900B1">
        <w:t>el posterior</w:t>
      </w:r>
      <w:r w:rsidR="005B5FEA">
        <w:t xml:space="preserve"> castigo de </w:t>
      </w:r>
      <w:r w:rsidR="002E00D9">
        <w:t xml:space="preserve">las </w:t>
      </w:r>
      <w:r w:rsidR="005B5FEA">
        <w:t>deudas</w:t>
      </w:r>
      <w:r w:rsidR="00B900B1">
        <w:t xml:space="preserve"> previsionales y no previsionales</w:t>
      </w:r>
      <w:r w:rsidR="002E00D9">
        <w:t xml:space="preserve"> </w:t>
      </w:r>
      <w:r w:rsidR="00B900B1">
        <w:t>funcionen</w:t>
      </w:r>
      <w:r w:rsidR="007C3868">
        <w:t xml:space="preserve"> adecuadamente, informando periódicamente al Directorio de</w:t>
      </w:r>
      <w:r w:rsidR="007C4524">
        <w:t xml:space="preserve"> la Mutualidad.</w:t>
      </w:r>
      <w:r>
        <w:t xml:space="preserve"> Para lo anterior podrá delegar dichas funciones en la Área especializada en la gestión de riesgos de la entidad.</w:t>
      </w:r>
    </w:p>
    <w:p w:rsidR="003C0BD4" w:rsidRDefault="003C0BD4" w:rsidP="003C0BD4">
      <w:pPr>
        <w:ind w:left="426"/>
        <w:jc w:val="both"/>
      </w:pPr>
    </w:p>
    <w:p w:rsidR="003C0BD4" w:rsidRDefault="005B5FEA" w:rsidP="003C0BD4">
      <w:pPr>
        <w:ind w:left="426"/>
        <w:jc w:val="both"/>
      </w:pPr>
      <w:r>
        <w:t>Asimismo</w:t>
      </w:r>
      <w:r w:rsidR="006D73BD">
        <w:t>, l</w:t>
      </w:r>
      <w:r w:rsidR="00EE31DB">
        <w:t xml:space="preserve">a </w:t>
      </w:r>
      <w:r w:rsidR="008D4A20">
        <w:t>U</w:t>
      </w:r>
      <w:r w:rsidR="00EE31DB">
        <w:t>nidad de Auditoría Interna deberá examinar</w:t>
      </w:r>
      <w:r w:rsidR="008D4A20">
        <w:t xml:space="preserve"> periódicamente</w:t>
      </w:r>
      <w:r w:rsidR="00EE31DB">
        <w:t xml:space="preserve">, </w:t>
      </w:r>
      <w:r w:rsidR="008D4A20">
        <w:t xml:space="preserve">según su ciclo de auditoría, </w:t>
      </w:r>
      <w:r w:rsidR="00EE31DB">
        <w:t xml:space="preserve">los procesos relacionados al cálculo y contabilización de las provisiones </w:t>
      </w:r>
      <w:r w:rsidR="002E00D9">
        <w:t>de deudores previsionales y no previsionales</w:t>
      </w:r>
      <w:r w:rsidR="006D73BD">
        <w:t>, así como también los procesos relacionados al castigo de dichas deudas</w:t>
      </w:r>
      <w:r w:rsidR="00EE31DB">
        <w:t>, resguardando el cumplimiento de los requerimientos normativos</w:t>
      </w:r>
      <w:r w:rsidR="006D73BD">
        <w:t xml:space="preserve"> instruidos por esta Superintendencia</w:t>
      </w:r>
      <w:r w:rsidR="00EE31DB">
        <w:t>.</w:t>
      </w:r>
    </w:p>
    <w:p w:rsidR="00B52D97" w:rsidRDefault="00B52D97" w:rsidP="00207194">
      <w:pPr>
        <w:ind w:left="426"/>
        <w:jc w:val="both"/>
      </w:pPr>
    </w:p>
    <w:p w:rsidR="00B52D97" w:rsidRDefault="00B52D97" w:rsidP="00207194">
      <w:pPr>
        <w:ind w:left="426"/>
        <w:jc w:val="both"/>
      </w:pPr>
    </w:p>
    <w:p w:rsidR="008D1739" w:rsidRPr="00A62C78" w:rsidRDefault="00987C65" w:rsidP="008D1739">
      <w:pPr>
        <w:pStyle w:val="Ttulo1"/>
        <w:numPr>
          <w:ilvl w:val="0"/>
          <w:numId w:val="2"/>
        </w:numPr>
        <w:ind w:left="426" w:hanging="426"/>
        <w:rPr>
          <w:lang w:val="es-ES"/>
        </w:rPr>
      </w:pPr>
      <w:bookmarkStart w:id="6" w:name="_Toc461613618"/>
      <w:bookmarkStart w:id="7" w:name="_Toc462331283"/>
      <w:r>
        <w:rPr>
          <w:lang w:val="es-ES"/>
        </w:rPr>
        <w:t>P</w:t>
      </w:r>
      <w:r w:rsidR="0078229E">
        <w:rPr>
          <w:lang w:val="es-ES"/>
        </w:rPr>
        <w:t>rovisiones</w:t>
      </w:r>
      <w:r w:rsidR="001F2B0A">
        <w:rPr>
          <w:lang w:val="es-ES"/>
        </w:rPr>
        <w:t xml:space="preserve"> por </w:t>
      </w:r>
      <w:bookmarkEnd w:id="6"/>
      <w:r w:rsidR="00000E56">
        <w:rPr>
          <w:lang w:val="es-ES"/>
        </w:rPr>
        <w:t>deudas no previsionales</w:t>
      </w:r>
      <w:bookmarkEnd w:id="7"/>
    </w:p>
    <w:p w:rsidR="008D1739" w:rsidRDefault="008D1739"/>
    <w:p w:rsidR="001F2B0A" w:rsidRDefault="0071151A" w:rsidP="0071151A">
      <w:pPr>
        <w:ind w:left="426"/>
        <w:jc w:val="both"/>
      </w:pPr>
      <w:r>
        <w:t xml:space="preserve">Las provisiones requeridas </w:t>
      </w:r>
      <w:r w:rsidR="00B900B1">
        <w:t xml:space="preserve">por esta Superintendencia </w:t>
      </w:r>
      <w:r w:rsidR="00987C65">
        <w:t xml:space="preserve">para las deudas </w:t>
      </w:r>
      <w:r w:rsidR="00000E56">
        <w:t>no previsionales</w:t>
      </w:r>
      <w:r>
        <w:t xml:space="preserve"> </w:t>
      </w:r>
      <w:r w:rsidR="006D73BD">
        <w:t>se basan en</w:t>
      </w:r>
      <w:r>
        <w:t xml:space="preserve"> un modelo de pérdida esperada,</w:t>
      </w:r>
      <w:r w:rsidR="001F2B0A" w:rsidRPr="001F2B0A">
        <w:t xml:space="preserve"> </w:t>
      </w:r>
      <w:r w:rsidR="001F2B0A">
        <w:t>c</w:t>
      </w:r>
      <w:r w:rsidR="001F2B0A" w:rsidRPr="001F2B0A">
        <w:t xml:space="preserve">on el objeto </w:t>
      </w:r>
      <w:r w:rsidR="001F2B0A">
        <w:t>que las Mutualidades constituyan</w:t>
      </w:r>
      <w:r w:rsidR="001F2B0A" w:rsidRPr="001F2B0A">
        <w:t xml:space="preserve"> oportunamente las provisiones necesarias para cubrir eventuales pérdidas</w:t>
      </w:r>
      <w:r w:rsidR="001F2B0A">
        <w:t xml:space="preserve"> derivadas del no pago de </w:t>
      </w:r>
      <w:r w:rsidR="00B900B1">
        <w:t>las deudas</w:t>
      </w:r>
      <w:r w:rsidR="00090351">
        <w:t xml:space="preserve"> </w:t>
      </w:r>
      <w:r w:rsidR="00000E56">
        <w:t>no previsionales que registran</w:t>
      </w:r>
      <w:r w:rsidR="001F2B0A">
        <w:t>.</w:t>
      </w:r>
    </w:p>
    <w:p w:rsidR="00B52D97" w:rsidRDefault="00B52D97" w:rsidP="0071151A">
      <w:pPr>
        <w:ind w:left="426"/>
        <w:jc w:val="both"/>
      </w:pPr>
    </w:p>
    <w:p w:rsidR="0042696A" w:rsidRDefault="0042696A" w:rsidP="0071151A">
      <w:pPr>
        <w:ind w:left="426"/>
        <w:jc w:val="both"/>
      </w:pPr>
    </w:p>
    <w:p w:rsidR="0071151A" w:rsidRDefault="005B5FEA" w:rsidP="00C175D1">
      <w:pPr>
        <w:ind w:left="426"/>
        <w:jc w:val="both"/>
      </w:pPr>
      <w:r>
        <w:t xml:space="preserve">Para lo anterior, </w:t>
      </w:r>
      <w:r w:rsidR="00C175D1">
        <w:t xml:space="preserve">se </w:t>
      </w:r>
      <w:r>
        <w:t>debe</w:t>
      </w:r>
      <w:r w:rsidR="00B900B1">
        <w:t>rá</w:t>
      </w:r>
      <w:r>
        <w:t xml:space="preserve"> clasificar la cartera de deudores de acuerdo a </w:t>
      </w:r>
      <w:r w:rsidR="00C175D1">
        <w:t xml:space="preserve">la clasificación de riesgo por morosidad descrita en el punto III.1 de esta circular, y posteriormente, efectuar el cálculo de las provisiones utilizando los factores asociados a cada clasificación de riego según lo dispuesto en el punto III.2 de la presente normativa. </w:t>
      </w:r>
    </w:p>
    <w:p w:rsidR="000A67B1" w:rsidRDefault="000A67B1"/>
    <w:p w:rsidR="00B52D97" w:rsidRDefault="00B52D97"/>
    <w:p w:rsidR="006B0703" w:rsidRPr="00A62C78" w:rsidRDefault="008D1739" w:rsidP="00086577">
      <w:pPr>
        <w:pStyle w:val="Ttulo2"/>
        <w:ind w:left="1134" w:hanging="708"/>
      </w:pPr>
      <w:bookmarkStart w:id="8" w:name="_Toc461613619"/>
      <w:bookmarkStart w:id="9" w:name="_Toc462331284"/>
      <w:r>
        <w:t xml:space="preserve">Clasificación </w:t>
      </w:r>
      <w:r w:rsidR="00FC0250">
        <w:t xml:space="preserve">de riesgo </w:t>
      </w:r>
      <w:r>
        <w:t>de la cartera</w:t>
      </w:r>
      <w:r w:rsidR="006B0703">
        <w:t xml:space="preserve"> por </w:t>
      </w:r>
      <w:bookmarkEnd w:id="8"/>
      <w:r w:rsidR="00000E56">
        <w:t>deudas no previsionales</w:t>
      </w:r>
      <w:bookmarkEnd w:id="9"/>
    </w:p>
    <w:p w:rsidR="006B0703" w:rsidRDefault="006B0703" w:rsidP="005037AA">
      <w:pPr>
        <w:autoSpaceDE w:val="0"/>
        <w:autoSpaceDN w:val="0"/>
        <w:adjustRightInd w:val="0"/>
        <w:ind w:left="426"/>
        <w:jc w:val="both"/>
      </w:pPr>
    </w:p>
    <w:p w:rsidR="00B11789" w:rsidRDefault="00A411BC" w:rsidP="00086577">
      <w:pPr>
        <w:autoSpaceDE w:val="0"/>
        <w:autoSpaceDN w:val="0"/>
        <w:adjustRightInd w:val="0"/>
        <w:ind w:left="1134"/>
        <w:jc w:val="both"/>
      </w:pPr>
      <w:r>
        <w:t>Las Mutualidades</w:t>
      </w:r>
      <w:r w:rsidR="00B11789">
        <w:t xml:space="preserve"> debe</w:t>
      </w:r>
      <w:r w:rsidR="005037AA">
        <w:t xml:space="preserve">n </w:t>
      </w:r>
      <w:r w:rsidR="008D1739">
        <w:t xml:space="preserve">clasificar la cartera </w:t>
      </w:r>
      <w:r>
        <w:t>de compromisos por</w:t>
      </w:r>
      <w:r w:rsidR="005037AA">
        <w:t xml:space="preserve"> </w:t>
      </w:r>
      <w:r w:rsidR="00000E56">
        <w:t>deudas no previsionales</w:t>
      </w:r>
      <w:r w:rsidR="008D1739">
        <w:t xml:space="preserve">, </w:t>
      </w:r>
      <w:r w:rsidR="00B11789">
        <w:t xml:space="preserve">de acuerdo a </w:t>
      </w:r>
      <w:r w:rsidR="00C175D1">
        <w:t>las categorías</w:t>
      </w:r>
      <w:r w:rsidR="00B11789">
        <w:t xml:space="preserve"> de morosidad que se describen a continuación:</w:t>
      </w:r>
    </w:p>
    <w:p w:rsidR="00B11789" w:rsidRDefault="00B11789" w:rsidP="00086577">
      <w:pPr>
        <w:autoSpaceDE w:val="0"/>
        <w:autoSpaceDN w:val="0"/>
        <w:adjustRightInd w:val="0"/>
        <w:ind w:left="1134"/>
        <w:jc w:val="both"/>
      </w:pPr>
    </w:p>
    <w:p w:rsidR="00B11789" w:rsidRDefault="00B11789" w:rsidP="0084028B">
      <w:pPr>
        <w:pStyle w:val="Prrafodelista"/>
        <w:numPr>
          <w:ilvl w:val="0"/>
          <w:numId w:val="3"/>
        </w:numPr>
        <w:autoSpaceDE w:val="0"/>
        <w:autoSpaceDN w:val="0"/>
        <w:adjustRightInd w:val="0"/>
        <w:spacing w:after="240"/>
        <w:ind w:left="1701" w:hanging="567"/>
        <w:contextualSpacing w:val="0"/>
        <w:jc w:val="both"/>
      </w:pPr>
      <w:r w:rsidRPr="00B11789">
        <w:rPr>
          <w:b/>
        </w:rPr>
        <w:t>Categoría A:</w:t>
      </w:r>
      <w:r>
        <w:t xml:space="preserve"> Compromisos cuyos deudores mantienen sus pagos al día.</w:t>
      </w:r>
    </w:p>
    <w:p w:rsidR="00B11789" w:rsidRDefault="00B11789" w:rsidP="0084028B">
      <w:pPr>
        <w:pStyle w:val="Prrafodelista"/>
        <w:numPr>
          <w:ilvl w:val="0"/>
          <w:numId w:val="3"/>
        </w:numPr>
        <w:autoSpaceDE w:val="0"/>
        <w:autoSpaceDN w:val="0"/>
        <w:adjustRightInd w:val="0"/>
        <w:spacing w:after="240"/>
        <w:ind w:left="1701" w:hanging="567"/>
        <w:contextualSpacing w:val="0"/>
        <w:jc w:val="both"/>
      </w:pPr>
      <w:r w:rsidRPr="00B11789">
        <w:rPr>
          <w:b/>
        </w:rPr>
        <w:t>Categoría B:</w:t>
      </w:r>
      <w:r>
        <w:t xml:space="preserve"> </w:t>
      </w:r>
      <w:r w:rsidR="00B437D9">
        <w:t>Compromisos cuyos deudores presentan una morosidad inferior o igual a 1 mes.</w:t>
      </w:r>
    </w:p>
    <w:p w:rsidR="00B11789" w:rsidRDefault="00B11789" w:rsidP="0084028B">
      <w:pPr>
        <w:pStyle w:val="Prrafodelista"/>
        <w:numPr>
          <w:ilvl w:val="0"/>
          <w:numId w:val="3"/>
        </w:numPr>
        <w:autoSpaceDE w:val="0"/>
        <w:autoSpaceDN w:val="0"/>
        <w:adjustRightInd w:val="0"/>
        <w:spacing w:after="240"/>
        <w:ind w:left="1701" w:hanging="567"/>
        <w:contextualSpacing w:val="0"/>
        <w:jc w:val="both"/>
      </w:pPr>
      <w:r>
        <w:rPr>
          <w:b/>
        </w:rPr>
        <w:t>Categoría C</w:t>
      </w:r>
      <w:r w:rsidRPr="00B11789">
        <w:rPr>
          <w:b/>
        </w:rPr>
        <w:t>:</w:t>
      </w:r>
      <w:r>
        <w:t xml:space="preserve"> Compromisos cuyos deudores presentan una morosidad superior a 1 mes e inferior o igual a </w:t>
      </w:r>
      <w:r w:rsidR="00D81EE0">
        <w:t>2</w:t>
      </w:r>
      <w:r>
        <w:t xml:space="preserve"> meses.</w:t>
      </w:r>
    </w:p>
    <w:p w:rsidR="00D81EE0" w:rsidRDefault="00D81EE0" w:rsidP="0084028B">
      <w:pPr>
        <w:pStyle w:val="Prrafodelista"/>
        <w:numPr>
          <w:ilvl w:val="0"/>
          <w:numId w:val="3"/>
        </w:numPr>
        <w:autoSpaceDE w:val="0"/>
        <w:autoSpaceDN w:val="0"/>
        <w:adjustRightInd w:val="0"/>
        <w:spacing w:after="240"/>
        <w:ind w:left="1701" w:hanging="567"/>
        <w:contextualSpacing w:val="0"/>
        <w:jc w:val="both"/>
      </w:pPr>
      <w:r>
        <w:rPr>
          <w:b/>
        </w:rPr>
        <w:t>Categoría D</w:t>
      </w:r>
      <w:r w:rsidRPr="00B11789">
        <w:rPr>
          <w:b/>
        </w:rPr>
        <w:t>:</w:t>
      </w:r>
      <w:r>
        <w:t xml:space="preserve"> Compromisos cuyos deudores presentan una morosidad superior a 2 meses e inferior o igual a 3 meses.</w:t>
      </w:r>
    </w:p>
    <w:p w:rsidR="00B11789" w:rsidRDefault="00D81EE0" w:rsidP="0084028B">
      <w:pPr>
        <w:pStyle w:val="Prrafodelista"/>
        <w:numPr>
          <w:ilvl w:val="0"/>
          <w:numId w:val="3"/>
        </w:numPr>
        <w:autoSpaceDE w:val="0"/>
        <w:autoSpaceDN w:val="0"/>
        <w:adjustRightInd w:val="0"/>
        <w:spacing w:after="240"/>
        <w:ind w:left="1701" w:hanging="567"/>
        <w:contextualSpacing w:val="0"/>
        <w:jc w:val="both"/>
      </w:pPr>
      <w:r>
        <w:rPr>
          <w:b/>
        </w:rPr>
        <w:t>Categoría E</w:t>
      </w:r>
      <w:r w:rsidR="00B11789" w:rsidRPr="00B11789">
        <w:rPr>
          <w:b/>
        </w:rPr>
        <w:t>:</w:t>
      </w:r>
      <w:r w:rsidR="00B11789">
        <w:t xml:space="preserve"> Compromisos cuyos deudores presentan una morosidad superior a </w:t>
      </w:r>
      <w:r w:rsidR="00B437D9">
        <w:t>3</w:t>
      </w:r>
      <w:r w:rsidR="00B11789">
        <w:t xml:space="preserve"> meses e inferior o igual a </w:t>
      </w:r>
      <w:r w:rsidR="00B437D9">
        <w:t>6</w:t>
      </w:r>
      <w:r w:rsidR="00B11789">
        <w:t xml:space="preserve"> meses.</w:t>
      </w:r>
    </w:p>
    <w:p w:rsidR="00B11789" w:rsidRDefault="00D81EE0" w:rsidP="0084028B">
      <w:pPr>
        <w:pStyle w:val="Prrafodelista"/>
        <w:numPr>
          <w:ilvl w:val="0"/>
          <w:numId w:val="3"/>
        </w:numPr>
        <w:autoSpaceDE w:val="0"/>
        <w:autoSpaceDN w:val="0"/>
        <w:adjustRightInd w:val="0"/>
        <w:spacing w:after="240"/>
        <w:ind w:left="1701" w:hanging="567"/>
        <w:contextualSpacing w:val="0"/>
        <w:jc w:val="both"/>
      </w:pPr>
      <w:r>
        <w:rPr>
          <w:b/>
        </w:rPr>
        <w:t>Categoría F</w:t>
      </w:r>
      <w:r w:rsidR="00B11789" w:rsidRPr="00B11789">
        <w:rPr>
          <w:b/>
        </w:rPr>
        <w:t>:</w:t>
      </w:r>
      <w:r w:rsidR="00B11789">
        <w:t xml:space="preserve"> Compromisos cuyos deudores presentan una morosidad superior a </w:t>
      </w:r>
      <w:r w:rsidR="00B437D9">
        <w:t>6</w:t>
      </w:r>
      <w:r w:rsidR="00B11789">
        <w:t xml:space="preserve"> meses e inferior o igual a </w:t>
      </w:r>
      <w:r w:rsidR="00B437D9">
        <w:t>9</w:t>
      </w:r>
      <w:r w:rsidR="00B11789">
        <w:t xml:space="preserve"> meses.</w:t>
      </w:r>
    </w:p>
    <w:p w:rsidR="00B11789" w:rsidRDefault="00D81EE0" w:rsidP="0084028B">
      <w:pPr>
        <w:pStyle w:val="Prrafodelista"/>
        <w:numPr>
          <w:ilvl w:val="0"/>
          <w:numId w:val="3"/>
        </w:numPr>
        <w:autoSpaceDE w:val="0"/>
        <w:autoSpaceDN w:val="0"/>
        <w:adjustRightInd w:val="0"/>
        <w:spacing w:after="240"/>
        <w:ind w:left="1701" w:hanging="567"/>
        <w:contextualSpacing w:val="0"/>
        <w:jc w:val="both"/>
      </w:pPr>
      <w:r>
        <w:rPr>
          <w:b/>
        </w:rPr>
        <w:t>Categoría G</w:t>
      </w:r>
      <w:r w:rsidR="00B11789" w:rsidRPr="00B11789">
        <w:rPr>
          <w:b/>
        </w:rPr>
        <w:t>:</w:t>
      </w:r>
      <w:r w:rsidR="00B11789">
        <w:t xml:space="preserve"> Compromisos cuyos deudores presentan una morosidad superior a </w:t>
      </w:r>
      <w:r w:rsidR="00B437D9">
        <w:t>9</w:t>
      </w:r>
      <w:r w:rsidR="00B11789">
        <w:t xml:space="preserve"> meses e inferior a </w:t>
      </w:r>
      <w:r w:rsidR="00B437D9">
        <w:t>1</w:t>
      </w:r>
      <w:r w:rsidR="00FE5685">
        <w:t>8</w:t>
      </w:r>
      <w:r w:rsidR="00B11789">
        <w:t xml:space="preserve"> meses.</w:t>
      </w:r>
    </w:p>
    <w:p w:rsidR="005037AA" w:rsidRDefault="00B52D97" w:rsidP="00086577">
      <w:pPr>
        <w:autoSpaceDE w:val="0"/>
        <w:autoSpaceDN w:val="0"/>
        <w:adjustRightInd w:val="0"/>
        <w:ind w:left="1134"/>
        <w:jc w:val="both"/>
      </w:pPr>
      <w:r>
        <w:t xml:space="preserve">Luego de clasificar </w:t>
      </w:r>
      <w:r w:rsidR="00C175D1">
        <w:t>los compromisos de acuerdo a su morosidad, las Mutualidades deben determinar la clasificación</w:t>
      </w:r>
      <w:r w:rsidR="00E74FC0">
        <w:t xml:space="preserve"> a nivel de deudor, </w:t>
      </w:r>
      <w:r w:rsidR="00B900B1">
        <w:t xml:space="preserve">esto es, </w:t>
      </w:r>
      <w:r w:rsidR="00E74FC0">
        <w:t>considerando el compromi</w:t>
      </w:r>
      <w:r w:rsidR="00C175D1">
        <w:t>so</w:t>
      </w:r>
      <w:r w:rsidR="00B900B1">
        <w:t xml:space="preserve"> del deudor</w:t>
      </w:r>
      <w:r w:rsidR="00C175D1">
        <w:t xml:space="preserve"> que presente mayor morosidad, obteniendo de esta forma la clasificación</w:t>
      </w:r>
      <w:r w:rsidR="00B900B1">
        <w:t xml:space="preserve"> global</w:t>
      </w:r>
      <w:r w:rsidR="00C175D1">
        <w:t xml:space="preserve"> del deudor.</w:t>
      </w:r>
    </w:p>
    <w:p w:rsidR="008D1739" w:rsidRDefault="008D1739">
      <w:pPr>
        <w:spacing w:after="200" w:line="276" w:lineRule="auto"/>
      </w:pPr>
    </w:p>
    <w:p w:rsidR="008D1739" w:rsidRPr="00A62C78" w:rsidRDefault="008D1739" w:rsidP="00086577">
      <w:pPr>
        <w:pStyle w:val="Ttulo2"/>
        <w:ind w:left="1134" w:hanging="708"/>
      </w:pPr>
      <w:bookmarkStart w:id="10" w:name="_Toc461613620"/>
      <w:bookmarkStart w:id="11" w:name="_Toc462331285"/>
      <w:r>
        <w:t>Provisiones</w:t>
      </w:r>
      <w:r w:rsidR="001F2B0A">
        <w:t xml:space="preserve"> </w:t>
      </w:r>
      <w:r>
        <w:t xml:space="preserve">por </w:t>
      </w:r>
      <w:bookmarkEnd w:id="10"/>
      <w:r w:rsidR="00000E56">
        <w:t>deudas no previsionales</w:t>
      </w:r>
      <w:bookmarkEnd w:id="11"/>
    </w:p>
    <w:p w:rsidR="008D1739" w:rsidRDefault="008D1739" w:rsidP="002F7165">
      <w:pPr>
        <w:jc w:val="both"/>
      </w:pPr>
    </w:p>
    <w:p w:rsidR="008D1739" w:rsidRDefault="00B900B1" w:rsidP="00086577">
      <w:pPr>
        <w:ind w:left="1134"/>
        <w:jc w:val="both"/>
      </w:pPr>
      <w:r>
        <w:t xml:space="preserve">Luego de realizar la clasificación de riesgo de los deudores, las Mutualidades deberán determinar la provisión para cada deudor, la que </w:t>
      </w:r>
      <w:r w:rsidR="00FC0250">
        <w:t xml:space="preserve">se obtendrá de la multiplicación </w:t>
      </w:r>
      <w:r w:rsidR="00437D43">
        <w:t xml:space="preserve">entre </w:t>
      </w:r>
      <w:r w:rsidR="00FC0250">
        <w:t xml:space="preserve">el monto </w:t>
      </w:r>
      <w:r w:rsidR="001F2B0A">
        <w:t>adeudado</w:t>
      </w:r>
      <w:r w:rsidR="00FC0250">
        <w:t xml:space="preserve"> </w:t>
      </w:r>
      <w:r w:rsidR="00437D43">
        <w:t>y</w:t>
      </w:r>
      <w:r w:rsidR="00FC0250">
        <w:t xml:space="preserve"> los factores asociados a cada clasificación de riesgo</w:t>
      </w:r>
      <w:r w:rsidR="00C175D1">
        <w:t xml:space="preserve"> del deudor</w:t>
      </w:r>
      <w:r w:rsidR="00FC0250">
        <w:t>, de acuerdo al siguiente cuadro:</w:t>
      </w:r>
    </w:p>
    <w:p w:rsidR="008D1739" w:rsidRDefault="008D1739" w:rsidP="002F7165">
      <w:pPr>
        <w:jc w:val="both"/>
      </w:pPr>
    </w:p>
    <w:tbl>
      <w:tblPr>
        <w:tblW w:w="4642" w:type="dxa"/>
        <w:jc w:val="center"/>
        <w:tblInd w:w="225" w:type="dxa"/>
        <w:tblCellMar>
          <w:left w:w="70" w:type="dxa"/>
          <w:right w:w="70" w:type="dxa"/>
        </w:tblCellMar>
        <w:tblLook w:val="04A0" w:firstRow="1" w:lastRow="0" w:firstColumn="1" w:lastColumn="0" w:noHBand="0" w:noVBand="1"/>
      </w:tblPr>
      <w:tblGrid>
        <w:gridCol w:w="2529"/>
        <w:gridCol w:w="2113"/>
      </w:tblGrid>
      <w:tr w:rsidR="00407ABC" w:rsidRPr="008D1739" w:rsidTr="00B52D97">
        <w:trPr>
          <w:trHeight w:val="340"/>
          <w:jc w:val="center"/>
        </w:trPr>
        <w:tc>
          <w:tcPr>
            <w:tcW w:w="2529" w:type="dxa"/>
            <w:tcBorders>
              <w:top w:val="single" w:sz="4" w:space="0" w:color="auto"/>
              <w:left w:val="single" w:sz="4" w:space="0" w:color="auto"/>
              <w:bottom w:val="single" w:sz="4" w:space="0" w:color="auto"/>
              <w:right w:val="single" w:sz="4" w:space="0" w:color="auto"/>
            </w:tcBorders>
            <w:shd w:val="clear" w:color="000000" w:fill="244062"/>
            <w:noWrap/>
            <w:vAlign w:val="center"/>
            <w:hideMark/>
          </w:tcPr>
          <w:p w:rsidR="00407ABC" w:rsidRPr="00B52D97" w:rsidRDefault="00407ABC" w:rsidP="00407ABC">
            <w:pPr>
              <w:jc w:val="center"/>
              <w:rPr>
                <w:rFonts w:cs="Arial"/>
                <w:b/>
                <w:bCs/>
                <w:color w:val="FFFFFF"/>
                <w:szCs w:val="22"/>
                <w:lang w:val="es-CL" w:eastAsia="es-CL"/>
              </w:rPr>
            </w:pPr>
            <w:r w:rsidRPr="00B52D97">
              <w:rPr>
                <w:rFonts w:cs="Arial"/>
                <w:b/>
                <w:bCs/>
                <w:color w:val="FFFFFF"/>
                <w:szCs w:val="22"/>
                <w:lang w:val="es-CL" w:eastAsia="es-CL"/>
              </w:rPr>
              <w:t>Clasificación de Riesgo</w:t>
            </w:r>
            <w:r w:rsidR="00C175D1" w:rsidRPr="00B52D97">
              <w:rPr>
                <w:rFonts w:cs="Arial"/>
                <w:b/>
                <w:bCs/>
                <w:color w:val="FFFFFF"/>
                <w:szCs w:val="22"/>
                <w:lang w:val="es-CL" w:eastAsia="es-CL"/>
              </w:rPr>
              <w:t xml:space="preserve"> del Deudor</w:t>
            </w:r>
          </w:p>
        </w:tc>
        <w:tc>
          <w:tcPr>
            <w:tcW w:w="2113" w:type="dxa"/>
            <w:tcBorders>
              <w:top w:val="single" w:sz="4" w:space="0" w:color="auto"/>
              <w:left w:val="nil"/>
              <w:bottom w:val="single" w:sz="4" w:space="0" w:color="auto"/>
              <w:right w:val="single" w:sz="4" w:space="0" w:color="auto"/>
            </w:tcBorders>
            <w:shd w:val="clear" w:color="000000" w:fill="244062"/>
            <w:noWrap/>
            <w:vAlign w:val="center"/>
            <w:hideMark/>
          </w:tcPr>
          <w:p w:rsidR="00407ABC" w:rsidRPr="00B52D97" w:rsidRDefault="00407ABC" w:rsidP="00407ABC">
            <w:pPr>
              <w:jc w:val="center"/>
              <w:rPr>
                <w:rFonts w:cs="Arial"/>
                <w:b/>
                <w:bCs/>
                <w:color w:val="FFFFFF"/>
                <w:szCs w:val="22"/>
                <w:lang w:val="es-CL" w:eastAsia="es-CL"/>
              </w:rPr>
            </w:pPr>
            <w:r w:rsidRPr="00B52D97">
              <w:rPr>
                <w:rFonts w:cs="Arial"/>
                <w:b/>
                <w:bCs/>
                <w:color w:val="FFFFFF"/>
                <w:szCs w:val="22"/>
                <w:lang w:val="es-CL" w:eastAsia="es-CL"/>
              </w:rPr>
              <w:t>Factor</w:t>
            </w:r>
          </w:p>
        </w:tc>
      </w:tr>
      <w:tr w:rsidR="00407ABC" w:rsidRPr="008D1739" w:rsidTr="00B52D97">
        <w:trPr>
          <w:trHeight w:val="340"/>
          <w:jc w:val="center"/>
        </w:trPr>
        <w:tc>
          <w:tcPr>
            <w:tcW w:w="2529" w:type="dxa"/>
            <w:tcBorders>
              <w:top w:val="nil"/>
              <w:left w:val="single" w:sz="4" w:space="0" w:color="auto"/>
              <w:bottom w:val="single" w:sz="4" w:space="0" w:color="auto"/>
              <w:right w:val="single" w:sz="4" w:space="0" w:color="auto"/>
            </w:tcBorders>
            <w:shd w:val="clear" w:color="auto" w:fill="auto"/>
            <w:noWrap/>
            <w:vAlign w:val="center"/>
            <w:hideMark/>
          </w:tcPr>
          <w:p w:rsidR="00407ABC" w:rsidRPr="00B52D97" w:rsidRDefault="00407ABC" w:rsidP="00407ABC">
            <w:pPr>
              <w:jc w:val="center"/>
              <w:rPr>
                <w:rFonts w:cs="Arial"/>
                <w:bCs/>
                <w:color w:val="000000"/>
                <w:szCs w:val="22"/>
                <w:lang w:val="es-CL" w:eastAsia="es-CL"/>
              </w:rPr>
            </w:pPr>
            <w:r w:rsidRPr="00B52D97">
              <w:rPr>
                <w:rFonts w:cs="Arial"/>
                <w:bCs/>
                <w:color w:val="000000"/>
                <w:szCs w:val="22"/>
                <w:lang w:val="es-CL" w:eastAsia="es-CL"/>
              </w:rPr>
              <w:t>Categoría A</w:t>
            </w:r>
          </w:p>
        </w:tc>
        <w:tc>
          <w:tcPr>
            <w:tcW w:w="2113" w:type="dxa"/>
            <w:tcBorders>
              <w:top w:val="nil"/>
              <w:left w:val="nil"/>
              <w:bottom w:val="single" w:sz="4" w:space="0" w:color="auto"/>
              <w:right w:val="single" w:sz="4" w:space="0" w:color="auto"/>
            </w:tcBorders>
            <w:shd w:val="clear" w:color="auto" w:fill="auto"/>
            <w:noWrap/>
            <w:vAlign w:val="center"/>
            <w:hideMark/>
          </w:tcPr>
          <w:p w:rsidR="00407ABC" w:rsidRPr="00B52D97" w:rsidRDefault="00407ABC" w:rsidP="00407ABC">
            <w:pPr>
              <w:jc w:val="center"/>
              <w:rPr>
                <w:rFonts w:cs="Arial"/>
                <w:color w:val="000000"/>
                <w:szCs w:val="22"/>
                <w:lang w:val="es-CL" w:eastAsia="es-CL"/>
              </w:rPr>
            </w:pPr>
            <w:r w:rsidRPr="00B52D97">
              <w:rPr>
                <w:rFonts w:cs="Arial"/>
                <w:color w:val="000000"/>
                <w:szCs w:val="22"/>
                <w:lang w:val="es-CL" w:eastAsia="es-CL"/>
              </w:rPr>
              <w:t>0,05</w:t>
            </w:r>
          </w:p>
        </w:tc>
      </w:tr>
      <w:tr w:rsidR="00407ABC" w:rsidRPr="008D1739" w:rsidTr="00B52D97">
        <w:trPr>
          <w:trHeight w:val="340"/>
          <w:jc w:val="center"/>
        </w:trPr>
        <w:tc>
          <w:tcPr>
            <w:tcW w:w="2529" w:type="dxa"/>
            <w:tcBorders>
              <w:top w:val="nil"/>
              <w:left w:val="single" w:sz="4" w:space="0" w:color="auto"/>
              <w:bottom w:val="single" w:sz="4" w:space="0" w:color="auto"/>
              <w:right w:val="single" w:sz="4" w:space="0" w:color="auto"/>
            </w:tcBorders>
            <w:shd w:val="clear" w:color="auto" w:fill="auto"/>
            <w:noWrap/>
            <w:vAlign w:val="center"/>
            <w:hideMark/>
          </w:tcPr>
          <w:p w:rsidR="00407ABC" w:rsidRPr="00B52D97" w:rsidRDefault="00407ABC" w:rsidP="00407ABC">
            <w:pPr>
              <w:jc w:val="center"/>
              <w:rPr>
                <w:rFonts w:cs="Arial"/>
              </w:rPr>
            </w:pPr>
            <w:r w:rsidRPr="00B52D97">
              <w:rPr>
                <w:rFonts w:cs="Arial"/>
                <w:bCs/>
                <w:color w:val="000000"/>
                <w:szCs w:val="22"/>
                <w:lang w:val="es-CL" w:eastAsia="es-CL"/>
              </w:rPr>
              <w:t>Categoría B</w:t>
            </w:r>
          </w:p>
        </w:tc>
        <w:tc>
          <w:tcPr>
            <w:tcW w:w="2113" w:type="dxa"/>
            <w:tcBorders>
              <w:top w:val="nil"/>
              <w:left w:val="nil"/>
              <w:bottom w:val="single" w:sz="4" w:space="0" w:color="auto"/>
              <w:right w:val="single" w:sz="4" w:space="0" w:color="auto"/>
            </w:tcBorders>
            <w:shd w:val="clear" w:color="auto" w:fill="auto"/>
            <w:noWrap/>
            <w:vAlign w:val="center"/>
            <w:hideMark/>
          </w:tcPr>
          <w:p w:rsidR="00407ABC" w:rsidRPr="00B52D97" w:rsidRDefault="00D81EE0" w:rsidP="00407ABC">
            <w:pPr>
              <w:jc w:val="center"/>
              <w:rPr>
                <w:rFonts w:cs="Arial"/>
                <w:color w:val="000000"/>
                <w:szCs w:val="22"/>
                <w:lang w:val="es-CL" w:eastAsia="es-CL"/>
              </w:rPr>
            </w:pPr>
            <w:r>
              <w:rPr>
                <w:rFonts w:cs="Arial"/>
                <w:color w:val="000000"/>
                <w:szCs w:val="22"/>
                <w:lang w:val="es-CL" w:eastAsia="es-CL"/>
              </w:rPr>
              <w:t>0,10</w:t>
            </w:r>
          </w:p>
        </w:tc>
      </w:tr>
      <w:tr w:rsidR="00407ABC" w:rsidRPr="008D1739" w:rsidTr="00B52D97">
        <w:trPr>
          <w:trHeight w:val="340"/>
          <w:jc w:val="center"/>
        </w:trPr>
        <w:tc>
          <w:tcPr>
            <w:tcW w:w="2529" w:type="dxa"/>
            <w:tcBorders>
              <w:top w:val="nil"/>
              <w:left w:val="single" w:sz="4" w:space="0" w:color="auto"/>
              <w:bottom w:val="single" w:sz="4" w:space="0" w:color="auto"/>
              <w:right w:val="single" w:sz="4" w:space="0" w:color="auto"/>
            </w:tcBorders>
            <w:shd w:val="clear" w:color="auto" w:fill="auto"/>
            <w:noWrap/>
            <w:vAlign w:val="center"/>
            <w:hideMark/>
          </w:tcPr>
          <w:p w:rsidR="00407ABC" w:rsidRPr="00B52D97" w:rsidRDefault="00407ABC" w:rsidP="00407ABC">
            <w:pPr>
              <w:jc w:val="center"/>
              <w:rPr>
                <w:rFonts w:cs="Arial"/>
              </w:rPr>
            </w:pPr>
            <w:r w:rsidRPr="00B52D97">
              <w:rPr>
                <w:rFonts w:cs="Arial"/>
                <w:bCs/>
                <w:color w:val="000000"/>
                <w:szCs w:val="22"/>
                <w:lang w:val="es-CL" w:eastAsia="es-CL"/>
              </w:rPr>
              <w:t>Categoría C</w:t>
            </w:r>
          </w:p>
        </w:tc>
        <w:tc>
          <w:tcPr>
            <w:tcW w:w="2113" w:type="dxa"/>
            <w:tcBorders>
              <w:top w:val="nil"/>
              <w:left w:val="nil"/>
              <w:bottom w:val="single" w:sz="4" w:space="0" w:color="auto"/>
              <w:right w:val="single" w:sz="4" w:space="0" w:color="auto"/>
            </w:tcBorders>
            <w:shd w:val="clear" w:color="auto" w:fill="auto"/>
            <w:noWrap/>
            <w:vAlign w:val="center"/>
            <w:hideMark/>
          </w:tcPr>
          <w:p w:rsidR="00407ABC" w:rsidRPr="00B52D97" w:rsidRDefault="00407ABC" w:rsidP="00D81EE0">
            <w:pPr>
              <w:jc w:val="center"/>
              <w:rPr>
                <w:rFonts w:cs="Arial"/>
                <w:color w:val="000000"/>
                <w:szCs w:val="22"/>
                <w:lang w:val="es-CL" w:eastAsia="es-CL"/>
              </w:rPr>
            </w:pPr>
            <w:r w:rsidRPr="00B52D97">
              <w:rPr>
                <w:rFonts w:cs="Arial"/>
                <w:color w:val="000000"/>
                <w:szCs w:val="22"/>
                <w:lang w:val="es-CL" w:eastAsia="es-CL"/>
              </w:rPr>
              <w:t>0,</w:t>
            </w:r>
            <w:r w:rsidR="00D81EE0">
              <w:rPr>
                <w:rFonts w:cs="Arial"/>
                <w:color w:val="000000"/>
                <w:szCs w:val="22"/>
                <w:lang w:val="es-CL" w:eastAsia="es-CL"/>
              </w:rPr>
              <w:t>13</w:t>
            </w:r>
          </w:p>
        </w:tc>
      </w:tr>
      <w:tr w:rsidR="00407ABC" w:rsidRPr="008D1739" w:rsidTr="00B52D97">
        <w:trPr>
          <w:trHeight w:val="340"/>
          <w:jc w:val="center"/>
        </w:trPr>
        <w:tc>
          <w:tcPr>
            <w:tcW w:w="2529" w:type="dxa"/>
            <w:tcBorders>
              <w:top w:val="nil"/>
              <w:left w:val="single" w:sz="4" w:space="0" w:color="auto"/>
              <w:bottom w:val="single" w:sz="4" w:space="0" w:color="auto"/>
              <w:right w:val="single" w:sz="4" w:space="0" w:color="auto"/>
            </w:tcBorders>
            <w:shd w:val="clear" w:color="auto" w:fill="auto"/>
            <w:noWrap/>
            <w:vAlign w:val="center"/>
            <w:hideMark/>
          </w:tcPr>
          <w:p w:rsidR="00407ABC" w:rsidRPr="00B52D97" w:rsidRDefault="00407ABC" w:rsidP="00407ABC">
            <w:pPr>
              <w:jc w:val="center"/>
              <w:rPr>
                <w:rFonts w:cs="Arial"/>
              </w:rPr>
            </w:pPr>
            <w:r w:rsidRPr="00B52D97">
              <w:rPr>
                <w:rFonts w:cs="Arial"/>
                <w:bCs/>
                <w:color w:val="000000"/>
                <w:szCs w:val="22"/>
                <w:lang w:val="es-CL" w:eastAsia="es-CL"/>
              </w:rPr>
              <w:t>Categoría D</w:t>
            </w:r>
          </w:p>
        </w:tc>
        <w:tc>
          <w:tcPr>
            <w:tcW w:w="2113" w:type="dxa"/>
            <w:tcBorders>
              <w:top w:val="nil"/>
              <w:left w:val="nil"/>
              <w:bottom w:val="single" w:sz="4" w:space="0" w:color="auto"/>
              <w:right w:val="single" w:sz="4" w:space="0" w:color="auto"/>
            </w:tcBorders>
            <w:shd w:val="clear" w:color="auto" w:fill="auto"/>
            <w:noWrap/>
            <w:vAlign w:val="center"/>
            <w:hideMark/>
          </w:tcPr>
          <w:p w:rsidR="00407ABC" w:rsidRPr="00B52D97" w:rsidRDefault="00D81EE0" w:rsidP="00407ABC">
            <w:pPr>
              <w:jc w:val="center"/>
              <w:rPr>
                <w:rFonts w:cs="Arial"/>
                <w:color w:val="000000"/>
                <w:szCs w:val="22"/>
                <w:lang w:val="es-CL" w:eastAsia="es-CL"/>
              </w:rPr>
            </w:pPr>
            <w:r>
              <w:rPr>
                <w:rFonts w:cs="Arial"/>
                <w:color w:val="000000"/>
                <w:szCs w:val="22"/>
                <w:lang w:val="es-CL" w:eastAsia="es-CL"/>
              </w:rPr>
              <w:t>0,15</w:t>
            </w:r>
          </w:p>
        </w:tc>
      </w:tr>
      <w:tr w:rsidR="00407ABC" w:rsidRPr="008D1739" w:rsidTr="00B52D97">
        <w:trPr>
          <w:trHeight w:val="340"/>
          <w:jc w:val="center"/>
        </w:trPr>
        <w:tc>
          <w:tcPr>
            <w:tcW w:w="2529" w:type="dxa"/>
            <w:tcBorders>
              <w:top w:val="nil"/>
              <w:left w:val="single" w:sz="4" w:space="0" w:color="auto"/>
              <w:bottom w:val="single" w:sz="4" w:space="0" w:color="auto"/>
              <w:right w:val="single" w:sz="4" w:space="0" w:color="auto"/>
            </w:tcBorders>
            <w:shd w:val="clear" w:color="auto" w:fill="auto"/>
            <w:noWrap/>
            <w:vAlign w:val="center"/>
            <w:hideMark/>
          </w:tcPr>
          <w:p w:rsidR="00407ABC" w:rsidRPr="00B52D97" w:rsidRDefault="00407ABC" w:rsidP="00407ABC">
            <w:pPr>
              <w:jc w:val="center"/>
              <w:rPr>
                <w:rFonts w:cs="Arial"/>
              </w:rPr>
            </w:pPr>
            <w:r w:rsidRPr="00B52D97">
              <w:rPr>
                <w:rFonts w:cs="Arial"/>
                <w:bCs/>
                <w:color w:val="000000"/>
                <w:szCs w:val="22"/>
                <w:lang w:val="es-CL" w:eastAsia="es-CL"/>
              </w:rPr>
              <w:t>Categoría E</w:t>
            </w:r>
          </w:p>
        </w:tc>
        <w:tc>
          <w:tcPr>
            <w:tcW w:w="2113" w:type="dxa"/>
            <w:tcBorders>
              <w:top w:val="nil"/>
              <w:left w:val="nil"/>
              <w:bottom w:val="single" w:sz="4" w:space="0" w:color="auto"/>
              <w:right w:val="single" w:sz="4" w:space="0" w:color="auto"/>
            </w:tcBorders>
            <w:shd w:val="clear" w:color="auto" w:fill="auto"/>
            <w:noWrap/>
            <w:vAlign w:val="center"/>
            <w:hideMark/>
          </w:tcPr>
          <w:p w:rsidR="00407ABC" w:rsidRPr="00B52D97" w:rsidRDefault="00407ABC" w:rsidP="00D81EE0">
            <w:pPr>
              <w:jc w:val="center"/>
              <w:rPr>
                <w:rFonts w:cs="Arial"/>
                <w:color w:val="000000"/>
                <w:szCs w:val="22"/>
                <w:lang w:val="es-CL" w:eastAsia="es-CL"/>
              </w:rPr>
            </w:pPr>
            <w:r w:rsidRPr="00B52D97">
              <w:rPr>
                <w:rFonts w:cs="Arial"/>
                <w:color w:val="000000"/>
                <w:szCs w:val="22"/>
                <w:lang w:val="es-CL" w:eastAsia="es-CL"/>
              </w:rPr>
              <w:t>0,</w:t>
            </w:r>
            <w:r w:rsidR="00D81EE0">
              <w:rPr>
                <w:rFonts w:cs="Arial"/>
                <w:color w:val="000000"/>
                <w:szCs w:val="22"/>
                <w:lang w:val="es-CL" w:eastAsia="es-CL"/>
              </w:rPr>
              <w:t>28</w:t>
            </w:r>
          </w:p>
        </w:tc>
      </w:tr>
      <w:tr w:rsidR="00407ABC" w:rsidRPr="008D1739" w:rsidTr="00B52D97">
        <w:trPr>
          <w:trHeight w:val="340"/>
          <w:jc w:val="center"/>
        </w:trPr>
        <w:tc>
          <w:tcPr>
            <w:tcW w:w="2529" w:type="dxa"/>
            <w:tcBorders>
              <w:top w:val="nil"/>
              <w:left w:val="single" w:sz="4" w:space="0" w:color="auto"/>
              <w:bottom w:val="single" w:sz="4" w:space="0" w:color="auto"/>
              <w:right w:val="single" w:sz="4" w:space="0" w:color="auto"/>
            </w:tcBorders>
            <w:shd w:val="clear" w:color="auto" w:fill="auto"/>
            <w:noWrap/>
            <w:vAlign w:val="center"/>
            <w:hideMark/>
          </w:tcPr>
          <w:p w:rsidR="00407ABC" w:rsidRPr="00B52D97" w:rsidRDefault="00407ABC" w:rsidP="00407ABC">
            <w:pPr>
              <w:jc w:val="center"/>
              <w:rPr>
                <w:rFonts w:cs="Arial"/>
              </w:rPr>
            </w:pPr>
            <w:r w:rsidRPr="00B52D97">
              <w:rPr>
                <w:rFonts w:cs="Arial"/>
                <w:bCs/>
                <w:color w:val="000000"/>
                <w:szCs w:val="22"/>
                <w:lang w:val="es-CL" w:eastAsia="es-CL"/>
              </w:rPr>
              <w:t>Categoría F</w:t>
            </w:r>
          </w:p>
        </w:tc>
        <w:tc>
          <w:tcPr>
            <w:tcW w:w="2113" w:type="dxa"/>
            <w:tcBorders>
              <w:top w:val="nil"/>
              <w:left w:val="nil"/>
              <w:bottom w:val="single" w:sz="4" w:space="0" w:color="auto"/>
              <w:right w:val="single" w:sz="4" w:space="0" w:color="auto"/>
            </w:tcBorders>
            <w:shd w:val="clear" w:color="auto" w:fill="auto"/>
            <w:noWrap/>
            <w:vAlign w:val="center"/>
            <w:hideMark/>
          </w:tcPr>
          <w:p w:rsidR="00407ABC" w:rsidRPr="00B52D97" w:rsidRDefault="00D81EE0" w:rsidP="00407ABC">
            <w:pPr>
              <w:jc w:val="center"/>
              <w:rPr>
                <w:rFonts w:cs="Arial"/>
                <w:color w:val="000000"/>
                <w:szCs w:val="22"/>
                <w:lang w:val="es-CL" w:eastAsia="es-CL"/>
              </w:rPr>
            </w:pPr>
            <w:r>
              <w:rPr>
                <w:rFonts w:cs="Arial"/>
                <w:color w:val="000000"/>
                <w:szCs w:val="22"/>
                <w:lang w:val="es-CL" w:eastAsia="es-CL"/>
              </w:rPr>
              <w:t>0,40</w:t>
            </w:r>
          </w:p>
        </w:tc>
      </w:tr>
      <w:tr w:rsidR="00407ABC" w:rsidRPr="008D1739" w:rsidTr="00B52D97">
        <w:trPr>
          <w:trHeight w:val="340"/>
          <w:jc w:val="center"/>
        </w:trPr>
        <w:tc>
          <w:tcPr>
            <w:tcW w:w="2529" w:type="dxa"/>
            <w:tcBorders>
              <w:top w:val="nil"/>
              <w:left w:val="single" w:sz="4" w:space="0" w:color="auto"/>
              <w:bottom w:val="single" w:sz="4" w:space="0" w:color="auto"/>
              <w:right w:val="single" w:sz="4" w:space="0" w:color="auto"/>
            </w:tcBorders>
            <w:shd w:val="clear" w:color="auto" w:fill="auto"/>
            <w:noWrap/>
            <w:vAlign w:val="center"/>
            <w:hideMark/>
          </w:tcPr>
          <w:p w:rsidR="00407ABC" w:rsidRPr="00B52D97" w:rsidRDefault="00407ABC" w:rsidP="00407ABC">
            <w:pPr>
              <w:jc w:val="center"/>
              <w:rPr>
                <w:rFonts w:cs="Arial"/>
              </w:rPr>
            </w:pPr>
            <w:r w:rsidRPr="00B52D97">
              <w:rPr>
                <w:rFonts w:cs="Arial"/>
                <w:bCs/>
                <w:color w:val="000000"/>
                <w:szCs w:val="22"/>
                <w:lang w:val="es-CL" w:eastAsia="es-CL"/>
              </w:rPr>
              <w:t>Categoría G</w:t>
            </w:r>
          </w:p>
        </w:tc>
        <w:tc>
          <w:tcPr>
            <w:tcW w:w="2113" w:type="dxa"/>
            <w:tcBorders>
              <w:top w:val="nil"/>
              <w:left w:val="nil"/>
              <w:bottom w:val="single" w:sz="4" w:space="0" w:color="auto"/>
              <w:right w:val="single" w:sz="4" w:space="0" w:color="auto"/>
            </w:tcBorders>
            <w:shd w:val="clear" w:color="auto" w:fill="auto"/>
            <w:noWrap/>
            <w:vAlign w:val="center"/>
            <w:hideMark/>
          </w:tcPr>
          <w:p w:rsidR="00407ABC" w:rsidRPr="00B52D97" w:rsidRDefault="000A2ACA" w:rsidP="00407ABC">
            <w:pPr>
              <w:jc w:val="center"/>
              <w:rPr>
                <w:rFonts w:cs="Arial"/>
                <w:color w:val="000000"/>
                <w:szCs w:val="22"/>
                <w:lang w:val="es-CL" w:eastAsia="es-CL"/>
              </w:rPr>
            </w:pPr>
            <w:r>
              <w:rPr>
                <w:rFonts w:cs="Arial"/>
                <w:color w:val="000000"/>
                <w:szCs w:val="22"/>
                <w:lang w:val="es-CL" w:eastAsia="es-CL"/>
              </w:rPr>
              <w:t>0,57</w:t>
            </w:r>
          </w:p>
        </w:tc>
      </w:tr>
    </w:tbl>
    <w:p w:rsidR="00470599" w:rsidRDefault="00470599" w:rsidP="0084028B">
      <w:pPr>
        <w:ind w:left="1134"/>
        <w:jc w:val="both"/>
      </w:pPr>
    </w:p>
    <w:p w:rsidR="00470599" w:rsidRDefault="00470599" w:rsidP="0084028B">
      <w:pPr>
        <w:ind w:left="1134"/>
        <w:jc w:val="both"/>
      </w:pPr>
    </w:p>
    <w:p w:rsidR="006D73BD" w:rsidRDefault="00437D43" w:rsidP="006D73BD">
      <w:pPr>
        <w:ind w:left="1134"/>
        <w:jc w:val="both"/>
      </w:pPr>
      <w:r>
        <w:t>De forma complementaria al cuadro anterior,</w:t>
      </w:r>
      <w:r w:rsidR="006D73BD">
        <w:t xml:space="preserve"> las Mutualidades deberán provisionar el 100% de la deuda</w:t>
      </w:r>
      <w:r w:rsidR="00C175D1">
        <w:t>,</w:t>
      </w:r>
      <w:r w:rsidR="006D73BD">
        <w:t xml:space="preserve"> una vez que ésta cumpla los </w:t>
      </w:r>
      <w:r w:rsidR="00C06680">
        <w:t>1</w:t>
      </w:r>
      <w:r w:rsidR="00FE5685">
        <w:t>8</w:t>
      </w:r>
      <w:r w:rsidR="006D73BD">
        <w:t xml:space="preserve"> meses de morosidad.</w:t>
      </w:r>
    </w:p>
    <w:p w:rsidR="004274AF" w:rsidRDefault="004274AF" w:rsidP="006D73BD">
      <w:pPr>
        <w:ind w:left="1134"/>
        <w:jc w:val="both"/>
      </w:pPr>
    </w:p>
    <w:p w:rsidR="004274AF" w:rsidRDefault="0042696A" w:rsidP="006D73BD">
      <w:pPr>
        <w:ind w:left="1134"/>
        <w:jc w:val="both"/>
      </w:pPr>
      <w:r>
        <w:t>Adicionalmente,</w:t>
      </w:r>
      <w:r w:rsidR="004274AF">
        <w:t xml:space="preserve"> respecto a renegociaciones de deudas no previsionales, la Mutualidad deberá mantener la clasificación de riesgo</w:t>
      </w:r>
      <w:r>
        <w:t xml:space="preserve"> que poseía el deudor</w:t>
      </w:r>
      <w:r w:rsidR="004274AF">
        <w:t xml:space="preserve"> </w:t>
      </w:r>
      <w:r>
        <w:t>anteriormente</w:t>
      </w:r>
      <w:r w:rsidR="004274AF">
        <w:t xml:space="preserve"> a esta operación, no pudiendo </w:t>
      </w:r>
      <w:r>
        <w:t>modificar</w:t>
      </w:r>
      <w:r w:rsidR="004274AF">
        <w:t xml:space="preserve"> su clasificación</w:t>
      </w:r>
      <w:r w:rsidR="003A38F9">
        <w:t>, en tanto no se registre el pago de cuatro cuotas consecutivas.</w:t>
      </w:r>
    </w:p>
    <w:p w:rsidR="004274AF" w:rsidRDefault="004274AF" w:rsidP="006D73BD">
      <w:pPr>
        <w:ind w:left="1134"/>
        <w:jc w:val="both"/>
      </w:pPr>
    </w:p>
    <w:p w:rsidR="009E60A7" w:rsidRDefault="0042696A" w:rsidP="006D73BD">
      <w:pPr>
        <w:ind w:left="1134"/>
        <w:jc w:val="both"/>
      </w:pPr>
      <w:r>
        <w:t>Por otra parte</w:t>
      </w:r>
      <w:r w:rsidR="009E60A7">
        <w:t>, si la Mutualidad considera</w:t>
      </w:r>
      <w:r w:rsidR="00FF3471">
        <w:t xml:space="preserve"> que el nivel de provisiones constituidas no es suficiente para cubrir el riesgo de la cartera, podrá constituir provisiones adicionales, considerando aspectos tales como perspectivas macroeconómicas adversas, circunstancias que puedan afectar a un grupo de deudores u otra situación que amerite</w:t>
      </w:r>
      <w:r w:rsidR="00437D43">
        <w:t xml:space="preserve"> considerar un riesgo adicional, las que deberán ser debidamente justificadas ante esta Superintendencia.</w:t>
      </w:r>
    </w:p>
    <w:p w:rsidR="00F11533" w:rsidRDefault="00F11533" w:rsidP="00E20A2B">
      <w:pPr>
        <w:ind w:left="1134"/>
        <w:jc w:val="both"/>
      </w:pPr>
    </w:p>
    <w:p w:rsidR="00B52D97" w:rsidRDefault="00B52D97" w:rsidP="00E20A2B">
      <w:pPr>
        <w:ind w:left="1134"/>
        <w:jc w:val="both"/>
      </w:pPr>
    </w:p>
    <w:p w:rsidR="001342DA" w:rsidRPr="00A62C78" w:rsidRDefault="001342DA" w:rsidP="001342DA">
      <w:pPr>
        <w:pStyle w:val="Ttulo1"/>
        <w:numPr>
          <w:ilvl w:val="0"/>
          <w:numId w:val="2"/>
        </w:numPr>
        <w:ind w:left="426" w:hanging="426"/>
        <w:rPr>
          <w:lang w:val="es-ES"/>
        </w:rPr>
      </w:pPr>
      <w:bookmarkStart w:id="12" w:name="_Toc462331286"/>
      <w:bookmarkStart w:id="13" w:name="_Toc461613621"/>
      <w:r>
        <w:rPr>
          <w:lang w:val="es-ES"/>
        </w:rPr>
        <w:t>Provisiones por deudas previsionales</w:t>
      </w:r>
      <w:bookmarkEnd w:id="12"/>
      <w:r>
        <w:rPr>
          <w:lang w:val="es-ES"/>
        </w:rPr>
        <w:t xml:space="preserve"> </w:t>
      </w:r>
      <w:bookmarkEnd w:id="13"/>
    </w:p>
    <w:p w:rsidR="001342DA" w:rsidRDefault="001342DA" w:rsidP="00E20A2B">
      <w:pPr>
        <w:ind w:left="1134"/>
        <w:jc w:val="both"/>
      </w:pPr>
    </w:p>
    <w:p w:rsidR="000042D8" w:rsidRDefault="000042D8" w:rsidP="000042D8">
      <w:pPr>
        <w:ind w:left="426"/>
        <w:jc w:val="both"/>
      </w:pPr>
      <w:r>
        <w:t>Las Mutualidades deberán constituir provisiones por el no pa</w:t>
      </w:r>
      <w:r w:rsidR="00472202">
        <w:t>go de las deudas previsionales</w:t>
      </w:r>
      <w:r>
        <w:t xml:space="preserve">, cuando </w:t>
      </w:r>
      <w:r w:rsidR="00472202">
        <w:t xml:space="preserve">exista evidencia de deterioro de acuerdo a lo dispuesto </w:t>
      </w:r>
      <w:r w:rsidR="00437D43">
        <w:t>en</w:t>
      </w:r>
      <w:r w:rsidR="00472202">
        <w:t xml:space="preserve"> las</w:t>
      </w:r>
      <w:r w:rsidR="00C17A5E">
        <w:t xml:space="preserve"> N</w:t>
      </w:r>
      <w:r>
        <w:t>ormas</w:t>
      </w:r>
      <w:r w:rsidR="00C17A5E">
        <w:t xml:space="preserve"> Internacionales de Información Financiera</w:t>
      </w:r>
      <w:r>
        <w:t xml:space="preserve"> </w:t>
      </w:r>
      <w:r w:rsidR="00C17A5E">
        <w:t>(</w:t>
      </w:r>
      <w:r>
        <w:t>IFRS</w:t>
      </w:r>
      <w:r w:rsidR="00C17A5E">
        <w:t xml:space="preserve">) emitidas por el International </w:t>
      </w:r>
      <w:proofErr w:type="spellStart"/>
      <w:r w:rsidR="00C17A5E">
        <w:t>Accounting</w:t>
      </w:r>
      <w:proofErr w:type="spellEnd"/>
      <w:r w:rsidR="00C17A5E">
        <w:t xml:space="preserve"> Standard </w:t>
      </w:r>
      <w:proofErr w:type="spellStart"/>
      <w:r w:rsidR="00C17A5E">
        <w:t>Board</w:t>
      </w:r>
      <w:proofErr w:type="spellEnd"/>
      <w:r w:rsidR="00C17A5E">
        <w:t xml:space="preserve"> (IASB)</w:t>
      </w:r>
      <w:r w:rsidR="00472202">
        <w:t>.</w:t>
      </w:r>
    </w:p>
    <w:p w:rsidR="00472202" w:rsidRDefault="00472202" w:rsidP="000042D8">
      <w:pPr>
        <w:ind w:left="426"/>
        <w:jc w:val="both"/>
      </w:pPr>
    </w:p>
    <w:p w:rsidR="005F7AFC" w:rsidRDefault="00E140E2" w:rsidP="000042D8">
      <w:pPr>
        <w:ind w:left="426"/>
        <w:jc w:val="both"/>
      </w:pPr>
      <w:r>
        <w:t>Al respecto</w:t>
      </w:r>
      <w:r w:rsidR="005F7AFC">
        <w:t>, la Mutualidad debe</w:t>
      </w:r>
      <w:r w:rsidR="00E47757">
        <w:t>rá</w:t>
      </w:r>
      <w:r w:rsidR="00C17A5E">
        <w:t xml:space="preserve"> aplicar un modelo que se ajuste a la realidad de su cartera, teniendo presente lo establecido en la NIC 36</w:t>
      </w:r>
      <w:r w:rsidR="00E47757">
        <w:t xml:space="preserve"> sobre deterioro de los activos</w:t>
      </w:r>
      <w:r w:rsidR="00C17A5E">
        <w:t>, o la que la reemplace, evaluando</w:t>
      </w:r>
      <w:r w:rsidR="005F7AFC">
        <w:t xml:space="preserve"> periódicamente si existe algún indicio de deterioro </w:t>
      </w:r>
      <w:r w:rsidR="00E47757">
        <w:t>en el</w:t>
      </w:r>
      <w:r w:rsidR="005F7AFC">
        <w:t xml:space="preserve"> valor de </w:t>
      </w:r>
      <w:r w:rsidR="00C17A5E">
        <w:t>sus</w:t>
      </w:r>
      <w:r w:rsidR="00C22D7D">
        <w:t xml:space="preserve"> activos por deudas previsionales.</w:t>
      </w:r>
    </w:p>
    <w:p w:rsidR="00437D43" w:rsidRDefault="00437D43" w:rsidP="000042D8">
      <w:pPr>
        <w:ind w:left="426"/>
        <w:jc w:val="both"/>
      </w:pPr>
    </w:p>
    <w:p w:rsidR="00437D43" w:rsidRDefault="00E140E2" w:rsidP="000042D8">
      <w:pPr>
        <w:ind w:left="426"/>
        <w:jc w:val="both"/>
      </w:pPr>
      <w:r>
        <w:t>Cabe señalar, que e</w:t>
      </w:r>
      <w:r w:rsidR="00437D43">
        <w:t>l modelo adoptado por la Mutualidad para la determinación de las provisiones de deudas previsionales</w:t>
      </w:r>
      <w:r w:rsidR="00F81D16">
        <w:t>, así como cualquier modificación,</w:t>
      </w:r>
      <w:r w:rsidR="00437D43">
        <w:t xml:space="preserve"> deberá contar con la aprobación</w:t>
      </w:r>
      <w:r w:rsidR="000A2ACA">
        <w:t xml:space="preserve"> previa</w:t>
      </w:r>
      <w:r w:rsidR="00437D43">
        <w:t xml:space="preserve"> de esta Superintendencia.</w:t>
      </w:r>
      <w:r w:rsidR="000A2ACA">
        <w:t xml:space="preserve"> Por tanto, para tales efectos el referido modelo deberá ser presentado a esta Superintendencia, durante los primeros 6 meses desde la entrada en vigencia de esta circular.</w:t>
      </w:r>
    </w:p>
    <w:p w:rsidR="00E140E2" w:rsidRDefault="00E140E2" w:rsidP="000042D8">
      <w:pPr>
        <w:ind w:left="426"/>
        <w:jc w:val="both"/>
      </w:pPr>
    </w:p>
    <w:p w:rsidR="00E140E2" w:rsidRDefault="00E140E2" w:rsidP="000042D8">
      <w:pPr>
        <w:ind w:left="426"/>
        <w:jc w:val="both"/>
      </w:pPr>
      <w:r>
        <w:t>No obstante lo señalado anteriormente, el reconocimiento o presunción de deudas previsionales y los ingresos respectivos, producto de la aplicación de la Circular N° 2.553, de 2009, originará en el mismo mes el reconocimiento de una provisión por el 100% del valor de la deuda previsional.</w:t>
      </w:r>
      <w:r w:rsidR="004274AF">
        <w:t xml:space="preserve"> Asimismo, </w:t>
      </w:r>
      <w:r w:rsidR="0042696A">
        <w:t>respecto a renegociaciones de deudas previsionales, la Mutualidad deberá considerar la clasificación de morosidad que poseía el deudor anteriormente a esta operación, no pudiendo modificar su clasificación</w:t>
      </w:r>
      <w:r w:rsidR="003A38F9">
        <w:t>, en tanto no se registre el pago de cuatro cuotas consecutivas.</w:t>
      </w:r>
    </w:p>
    <w:p w:rsidR="001342DA" w:rsidRDefault="001342DA" w:rsidP="00E20A2B">
      <w:pPr>
        <w:ind w:left="1134"/>
        <w:jc w:val="both"/>
      </w:pPr>
    </w:p>
    <w:p w:rsidR="00CC4457" w:rsidRDefault="00CC4457" w:rsidP="00E20A2B">
      <w:pPr>
        <w:ind w:left="1134"/>
        <w:jc w:val="both"/>
      </w:pPr>
    </w:p>
    <w:p w:rsidR="0072061D" w:rsidRPr="00A62C78" w:rsidRDefault="00472202" w:rsidP="0072061D">
      <w:pPr>
        <w:pStyle w:val="Ttulo1"/>
        <w:numPr>
          <w:ilvl w:val="0"/>
          <w:numId w:val="2"/>
        </w:numPr>
        <w:ind w:left="426" w:hanging="426"/>
        <w:rPr>
          <w:lang w:val="es-ES"/>
        </w:rPr>
      </w:pPr>
      <w:bookmarkStart w:id="14" w:name="_Toc461613622"/>
      <w:bookmarkStart w:id="15" w:name="_Toc462331287"/>
      <w:r>
        <w:rPr>
          <w:lang w:val="es-ES"/>
        </w:rPr>
        <w:t>Procedimiento para la declaración de incobrabilidad y posterior c</w:t>
      </w:r>
      <w:r w:rsidR="0072061D">
        <w:rPr>
          <w:lang w:val="es-ES"/>
        </w:rPr>
        <w:t xml:space="preserve">astigo de las deudas </w:t>
      </w:r>
      <w:r w:rsidR="001342DA">
        <w:rPr>
          <w:lang w:val="es-ES"/>
        </w:rPr>
        <w:t>previsionales y no previsionales</w:t>
      </w:r>
      <w:bookmarkEnd w:id="14"/>
      <w:bookmarkEnd w:id="15"/>
    </w:p>
    <w:p w:rsidR="0072061D" w:rsidRDefault="0072061D" w:rsidP="002F7165">
      <w:pPr>
        <w:jc w:val="both"/>
      </w:pPr>
    </w:p>
    <w:p w:rsidR="00FF3471" w:rsidRDefault="00147A91" w:rsidP="003D43DF">
      <w:pPr>
        <w:ind w:left="426"/>
        <w:jc w:val="both"/>
      </w:pPr>
      <w:r>
        <w:t xml:space="preserve">Las </w:t>
      </w:r>
      <w:r w:rsidR="00FF3471">
        <w:t>Mutualidades debe</w:t>
      </w:r>
      <w:r w:rsidR="00DF5D65">
        <w:t>rán</w:t>
      </w:r>
      <w:r w:rsidR="00FF3471">
        <w:t xml:space="preserve"> solicitar </w:t>
      </w:r>
      <w:r>
        <w:t>semestralmente</w:t>
      </w:r>
      <w:r w:rsidR="00FF3471">
        <w:t xml:space="preserve">, si corresponde, </w:t>
      </w:r>
      <w:r w:rsidR="00472202">
        <w:t xml:space="preserve">la aprobación de </w:t>
      </w:r>
      <w:r w:rsidR="00DF5D65">
        <w:t>la declaración</w:t>
      </w:r>
      <w:r w:rsidR="00472202">
        <w:t xml:space="preserve"> de incobrabilidad a</w:t>
      </w:r>
      <w:r w:rsidR="00FF3471">
        <w:t xml:space="preserve"> esta Superintendencia para proceder a efectuar el castigo de las deudas</w:t>
      </w:r>
      <w:r w:rsidR="00D64BCD">
        <w:t xml:space="preserve"> previsionales y no previsionales</w:t>
      </w:r>
      <w:r w:rsidR="00FF3471">
        <w:t>,</w:t>
      </w:r>
      <w:r w:rsidR="00C06680">
        <w:t xml:space="preserve"> una vez que éstas cumplan los 1</w:t>
      </w:r>
      <w:r w:rsidR="00FE5685">
        <w:t>8</w:t>
      </w:r>
      <w:r w:rsidR="00FF3471">
        <w:t xml:space="preserve"> meses de </w:t>
      </w:r>
      <w:r>
        <w:t>morosidad.</w:t>
      </w:r>
    </w:p>
    <w:p w:rsidR="00B52D97" w:rsidRDefault="00B52D97" w:rsidP="003D43DF">
      <w:pPr>
        <w:ind w:left="426"/>
        <w:jc w:val="both"/>
      </w:pPr>
    </w:p>
    <w:p w:rsidR="00147A91" w:rsidRDefault="00147A91" w:rsidP="003D43DF">
      <w:pPr>
        <w:ind w:left="426"/>
        <w:jc w:val="both"/>
      </w:pPr>
      <w:r>
        <w:t>Sobre el particular</w:t>
      </w:r>
      <w:r w:rsidR="00FF3471">
        <w:t xml:space="preserve">, </w:t>
      </w:r>
      <w:r>
        <w:t xml:space="preserve">las Mutualidades deben remitir </w:t>
      </w:r>
      <w:r w:rsidR="00FF3471">
        <w:t>a esta Superintendencia</w:t>
      </w:r>
      <w:r w:rsidR="00765168">
        <w:t xml:space="preserve"> </w:t>
      </w:r>
      <w:r w:rsidR="00FF3471">
        <w:t xml:space="preserve">la solicitud de castigo de las deudas que cumplan con las condiciones señaladas anteriormente, </w:t>
      </w:r>
      <w:r w:rsidR="00F81D16">
        <w:t>a través del Sistema de Gestión de Reportes e Información para la Supervisión (GRIS</w:t>
      </w:r>
      <w:r w:rsidR="00765168">
        <w:t>)</w:t>
      </w:r>
      <w:r w:rsidR="00FF3471">
        <w:t xml:space="preserve"> con el detalle de dichas operaciones, cuyo contenido deberá ajustarse al formato establecido en el ANEXO 1 y en el ANEXO 2 de la presente Circular.</w:t>
      </w:r>
      <w:r>
        <w:t xml:space="preserve"> </w:t>
      </w:r>
    </w:p>
    <w:p w:rsidR="00147A91" w:rsidRDefault="00147A91" w:rsidP="003D43DF">
      <w:pPr>
        <w:ind w:left="426"/>
        <w:jc w:val="both"/>
      </w:pPr>
    </w:p>
    <w:p w:rsidR="00FF3471" w:rsidRDefault="00147A91" w:rsidP="003D43DF">
      <w:pPr>
        <w:ind w:left="426"/>
        <w:jc w:val="both"/>
      </w:pPr>
      <w:r>
        <w:t>Adicionalmente, junto con l</w:t>
      </w:r>
      <w:r w:rsidR="00E47757">
        <w:t>o anterior, se debe remitir un I</w:t>
      </w:r>
      <w:r>
        <w:t xml:space="preserve">nforme de la Fiscalía de la Mutualidad detallando las acciones realizadas por la entidad respecto al cobro de los montos adeudados. </w:t>
      </w:r>
    </w:p>
    <w:p w:rsidR="00FF3471" w:rsidRDefault="00147A91" w:rsidP="003D43DF">
      <w:pPr>
        <w:ind w:left="426"/>
        <w:jc w:val="both"/>
      </w:pPr>
      <w:r>
        <w:t>L</w:t>
      </w:r>
      <w:r w:rsidR="00FF3471" w:rsidRPr="008F3125">
        <w:t>as</w:t>
      </w:r>
      <w:r>
        <w:t xml:space="preserve"> Mutualidades</w:t>
      </w:r>
      <w:r w:rsidR="00FF3471" w:rsidRPr="008F3125">
        <w:t xml:space="preserve"> </w:t>
      </w:r>
      <w:r>
        <w:t>deben</w:t>
      </w:r>
      <w:r w:rsidR="00FF3471" w:rsidRPr="008F3125">
        <w:t xml:space="preserve"> remitir </w:t>
      </w:r>
      <w:r>
        <w:t xml:space="preserve">la información requerida </w:t>
      </w:r>
      <w:r w:rsidR="00FF3471" w:rsidRPr="008F3125">
        <w:t>a esta Superintendencia</w:t>
      </w:r>
      <w:r w:rsidR="005A28FE">
        <w:t>,</w:t>
      </w:r>
      <w:r w:rsidR="00FF3471" w:rsidRPr="008F3125">
        <w:t xml:space="preserve"> </w:t>
      </w:r>
      <w:r w:rsidR="00FF3471">
        <w:t>a más tardar</w:t>
      </w:r>
      <w:r w:rsidR="005A28FE">
        <w:t>,</w:t>
      </w:r>
      <w:r w:rsidR="00FF3471">
        <w:t xml:space="preserve"> el </w:t>
      </w:r>
      <w:r>
        <w:t>último día del mes siguiente al término de cada semestre</w:t>
      </w:r>
      <w:r w:rsidR="00FF3471">
        <w:t>,</w:t>
      </w:r>
      <w:r w:rsidR="00FF3471" w:rsidRPr="008F3125">
        <w:t xml:space="preserve"> </w:t>
      </w:r>
      <w:r>
        <w:t>es decir los días 31 de enero y 31 de julio de cada año</w:t>
      </w:r>
      <w:r w:rsidR="00FF3471" w:rsidRPr="008F3125">
        <w:t xml:space="preserve">. </w:t>
      </w:r>
      <w:r w:rsidR="00D64BCD">
        <w:t>Si</w:t>
      </w:r>
      <w:r w:rsidR="00FF3471" w:rsidRPr="008F3125">
        <w:t xml:space="preserve"> </w:t>
      </w:r>
      <w:r w:rsidR="00FF3471">
        <w:t xml:space="preserve">el </w:t>
      </w:r>
      <w:r>
        <w:t xml:space="preserve">referido </w:t>
      </w:r>
      <w:r w:rsidR="00FF3471">
        <w:t>día</w:t>
      </w:r>
      <w:r>
        <w:t xml:space="preserve"> </w:t>
      </w:r>
      <w:r w:rsidR="00D64BCD">
        <w:t>corresponde</w:t>
      </w:r>
      <w:r w:rsidR="00FF3471" w:rsidRPr="008F3125">
        <w:t xml:space="preserve"> a un sábado, domingo o festivo, se deberá remitir la información </w:t>
      </w:r>
      <w:r w:rsidR="00FF3471">
        <w:t xml:space="preserve">a más tardar </w:t>
      </w:r>
      <w:r w:rsidR="00FF3471" w:rsidRPr="008F3125">
        <w:t>el día hábil siguiente.</w:t>
      </w:r>
    </w:p>
    <w:p w:rsidR="00FF3471" w:rsidRPr="00864623" w:rsidRDefault="00FF3471" w:rsidP="003D43DF">
      <w:pPr>
        <w:ind w:left="426"/>
        <w:jc w:val="both"/>
      </w:pPr>
    </w:p>
    <w:p w:rsidR="00FF3471" w:rsidRDefault="00FF3471" w:rsidP="003D43DF">
      <w:pPr>
        <w:ind w:left="426"/>
        <w:jc w:val="both"/>
      </w:pPr>
      <w:r>
        <w:t>En caso que esta Superintendencia no autorice el castigo de las deu</w:t>
      </w:r>
      <w:r w:rsidR="00470599">
        <w:t>das para un período</w:t>
      </w:r>
      <w:r>
        <w:t xml:space="preserve"> determinado o para un grupo de operaciones, esto no exime a </w:t>
      </w:r>
      <w:r w:rsidR="003D43DF">
        <w:t>la Mutualidad</w:t>
      </w:r>
      <w:r>
        <w:t xml:space="preserve"> de presentar la solicitud de castigo correspondiente al </w:t>
      </w:r>
      <w:r w:rsidR="00470599">
        <w:t xml:space="preserve">período </w:t>
      </w:r>
      <w:r>
        <w:t>siguiente.</w:t>
      </w:r>
    </w:p>
    <w:p w:rsidR="00C45FD3" w:rsidRDefault="00C45FD3" w:rsidP="003D43DF">
      <w:pPr>
        <w:ind w:left="426"/>
        <w:jc w:val="both"/>
      </w:pPr>
    </w:p>
    <w:p w:rsidR="006C3274" w:rsidRDefault="00C45FD3" w:rsidP="0084028B">
      <w:pPr>
        <w:ind w:left="426"/>
        <w:jc w:val="both"/>
      </w:pPr>
      <w:r>
        <w:t>Cabe señalar, que la</w:t>
      </w:r>
      <w:r w:rsidR="005A28FE">
        <w:t xml:space="preserve"> aprobación de la declaración de incobrabilidad por parte de esta Superintendencia, </w:t>
      </w:r>
      <w:r>
        <w:t>no obsta que la Mutualidad realice las gestiones de cobranzas, tanto judiciales y prejudiciales, que correspondan.</w:t>
      </w:r>
    </w:p>
    <w:p w:rsidR="006C3274" w:rsidRPr="00CC4457" w:rsidRDefault="006C3274" w:rsidP="00CC4457"/>
    <w:p w:rsidR="00255A5D" w:rsidRPr="00255A5D" w:rsidRDefault="00255A5D" w:rsidP="00255A5D">
      <w:pPr>
        <w:pStyle w:val="Ttulo1"/>
        <w:numPr>
          <w:ilvl w:val="0"/>
          <w:numId w:val="2"/>
        </w:numPr>
        <w:ind w:left="426" w:hanging="426"/>
        <w:rPr>
          <w:lang w:val="es-ES"/>
        </w:rPr>
      </w:pPr>
      <w:bookmarkStart w:id="16" w:name="_Toc461613623"/>
      <w:bookmarkStart w:id="17" w:name="_Toc462331288"/>
      <w:r w:rsidRPr="00255A5D">
        <w:rPr>
          <w:lang w:val="es-ES"/>
        </w:rPr>
        <w:t>Contabilización de</w:t>
      </w:r>
      <w:r>
        <w:rPr>
          <w:lang w:val="es-ES"/>
        </w:rPr>
        <w:t xml:space="preserve"> las provisiones y</w:t>
      </w:r>
      <w:r w:rsidRPr="00255A5D">
        <w:rPr>
          <w:lang w:val="es-ES"/>
        </w:rPr>
        <w:t xml:space="preserve"> los castigos</w:t>
      </w:r>
      <w:bookmarkEnd w:id="16"/>
      <w:bookmarkEnd w:id="17"/>
    </w:p>
    <w:p w:rsidR="00255A5D" w:rsidRDefault="00255A5D" w:rsidP="00255A5D">
      <w:pPr>
        <w:ind w:left="1134"/>
        <w:jc w:val="both"/>
      </w:pPr>
    </w:p>
    <w:p w:rsidR="00255A5D" w:rsidRDefault="00255A5D" w:rsidP="00255A5D">
      <w:pPr>
        <w:ind w:left="426"/>
        <w:jc w:val="both"/>
      </w:pPr>
      <w:r>
        <w:t>Las provisiones</w:t>
      </w:r>
      <w:r w:rsidR="0098367A">
        <w:t xml:space="preserve"> constituidas</w:t>
      </w:r>
      <w:r w:rsidR="005C54D3">
        <w:t xml:space="preserve"> se</w:t>
      </w:r>
      <w:r w:rsidR="0098367A">
        <w:t xml:space="preserve"> deberán abonar</w:t>
      </w:r>
      <w:r w:rsidR="005C54D3">
        <w:t xml:space="preserve"> a las cuentas de activos </w:t>
      </w:r>
      <w:r w:rsidR="00E47757">
        <w:t xml:space="preserve">que </w:t>
      </w:r>
      <w:r w:rsidR="005C54D3">
        <w:t>corresponda</w:t>
      </w:r>
      <w:r w:rsidR="00E47757">
        <w:t xml:space="preserve"> según la clasificación de la deuda</w:t>
      </w:r>
      <w:r w:rsidR="005C54D3">
        <w:t>, y además,</w:t>
      </w:r>
      <w:r>
        <w:t xml:space="preserve"> deberán ser imputadas en el ítem del FUPEF-IFRS 42160 “Pérdida por deterioro</w:t>
      </w:r>
      <w:r w:rsidR="005C54D3">
        <w:t>”</w:t>
      </w:r>
      <w:r w:rsidR="00E47757">
        <w:t>.</w:t>
      </w:r>
    </w:p>
    <w:p w:rsidR="00CC4457" w:rsidRDefault="00CC4457" w:rsidP="00255A5D">
      <w:pPr>
        <w:ind w:left="426"/>
        <w:jc w:val="both"/>
      </w:pPr>
    </w:p>
    <w:p w:rsidR="00255A5D" w:rsidRDefault="00E47757" w:rsidP="00E47757">
      <w:pPr>
        <w:ind w:left="426"/>
        <w:jc w:val="both"/>
      </w:pPr>
      <w:r w:rsidRPr="00E47757">
        <w:t>L</w:t>
      </w:r>
      <w:r w:rsidR="005C54D3" w:rsidRPr="00E47757">
        <w:t>os castigos de las deudas aprobados por esta Superintendencia, se deberán concretar en el mes siguiente a aquel en que se aprobaron</w:t>
      </w:r>
      <w:r w:rsidR="00563834">
        <w:t>.</w:t>
      </w:r>
      <w:r>
        <w:t xml:space="preserve"> </w:t>
      </w:r>
      <w:r w:rsidR="00BC06A6">
        <w:t>Por otra parte, l</w:t>
      </w:r>
      <w:r w:rsidR="00255A5D">
        <w:t>as recuperaciones de créditos castigados deberán ser imputadas en el ítem del FUPEF-IFRS 44060 “Otros ingresos”.</w:t>
      </w:r>
    </w:p>
    <w:p w:rsidR="00FF3471" w:rsidRDefault="00FF3471" w:rsidP="00CC4457">
      <w:pPr>
        <w:ind w:left="426"/>
        <w:jc w:val="both"/>
      </w:pPr>
    </w:p>
    <w:p w:rsidR="00147A91" w:rsidRPr="00147A91" w:rsidRDefault="00147A91" w:rsidP="00147A91">
      <w:pPr>
        <w:pStyle w:val="Ttulo1"/>
        <w:numPr>
          <w:ilvl w:val="0"/>
          <w:numId w:val="2"/>
        </w:numPr>
        <w:ind w:left="426" w:hanging="426"/>
        <w:rPr>
          <w:lang w:val="es-ES"/>
        </w:rPr>
      </w:pPr>
      <w:bookmarkStart w:id="18" w:name="_Toc461613624"/>
      <w:bookmarkStart w:id="19" w:name="_Toc462331289"/>
      <w:r w:rsidRPr="00147A91">
        <w:rPr>
          <w:lang w:val="es-ES"/>
        </w:rPr>
        <w:t xml:space="preserve">Cobranza judicial </w:t>
      </w:r>
      <w:r w:rsidR="00516C3C">
        <w:rPr>
          <w:lang w:val="es-ES"/>
        </w:rPr>
        <w:t xml:space="preserve">de las deudas </w:t>
      </w:r>
      <w:r w:rsidR="001342DA">
        <w:rPr>
          <w:lang w:val="es-ES"/>
        </w:rPr>
        <w:t>previsionales y no previsionales</w:t>
      </w:r>
      <w:bookmarkEnd w:id="18"/>
      <w:bookmarkEnd w:id="19"/>
    </w:p>
    <w:p w:rsidR="00147A91" w:rsidRDefault="00147A91" w:rsidP="00147A91">
      <w:pPr>
        <w:pStyle w:val="ndice1"/>
        <w:numPr>
          <w:ilvl w:val="0"/>
          <w:numId w:val="0"/>
        </w:numPr>
        <w:ind w:left="993"/>
      </w:pPr>
    </w:p>
    <w:p w:rsidR="00A91D8B" w:rsidRDefault="00516C3C" w:rsidP="00A91D8B">
      <w:pPr>
        <w:ind w:left="426"/>
        <w:jc w:val="both"/>
      </w:pPr>
      <w:r>
        <w:t>La cobranza judicial de las deudas morosas</w:t>
      </w:r>
      <w:r w:rsidR="00D64BCD">
        <w:t>, tanto previsionales como no previsionales,</w:t>
      </w:r>
      <w:r>
        <w:t xml:space="preserve"> será obligatoria para aquellas deudas superiores a </w:t>
      </w:r>
      <w:r w:rsidR="00095AC3">
        <w:t>3</w:t>
      </w:r>
      <w:r>
        <w:t xml:space="preserve">0 Unidades de Fomento, </w:t>
      </w:r>
      <w:r w:rsidR="00147A91">
        <w:t>calculadas a la fecha en que el deudor deja de cumplir con su obligación.</w:t>
      </w:r>
      <w:r w:rsidR="00A91D8B">
        <w:t xml:space="preserve"> </w:t>
      </w:r>
    </w:p>
    <w:p w:rsidR="00A91D8B" w:rsidRDefault="00A91D8B" w:rsidP="00A91D8B">
      <w:pPr>
        <w:ind w:left="426"/>
        <w:jc w:val="both"/>
      </w:pPr>
    </w:p>
    <w:p w:rsidR="00147A91" w:rsidRDefault="00A91D8B" w:rsidP="00A91D8B">
      <w:pPr>
        <w:ind w:left="426"/>
        <w:jc w:val="both"/>
      </w:pPr>
      <w:r>
        <w:t>Cabe señalar que l</w:t>
      </w:r>
      <w:r w:rsidR="003D43DF">
        <w:t>as</w:t>
      </w:r>
      <w:r w:rsidR="00147A91">
        <w:t xml:space="preserve"> acciones de cobranza judicial deben comenzar dentro de los seis primeros meses contados desde el inicio de la morosidad.</w:t>
      </w:r>
    </w:p>
    <w:p w:rsidR="00147A91" w:rsidRDefault="00147A91" w:rsidP="003D43DF">
      <w:pPr>
        <w:ind w:left="426"/>
        <w:jc w:val="both"/>
      </w:pPr>
    </w:p>
    <w:p w:rsidR="00B52D97" w:rsidRDefault="00A91D8B" w:rsidP="0084028B">
      <w:pPr>
        <w:ind w:left="426"/>
        <w:jc w:val="both"/>
      </w:pPr>
      <w:r>
        <w:t>Por otra parte, l</w:t>
      </w:r>
      <w:r w:rsidR="003D43DF">
        <w:t>as Mutualidades</w:t>
      </w:r>
      <w:r w:rsidR="00147A91">
        <w:t xml:space="preserve"> deberán mantener </w:t>
      </w:r>
      <w:r w:rsidR="00563834">
        <w:t>registros</w:t>
      </w:r>
      <w:r w:rsidR="00147A91">
        <w:t xml:space="preserve"> actualizad</w:t>
      </w:r>
      <w:r w:rsidR="00563834">
        <w:t xml:space="preserve">os en algún sistema de información, </w:t>
      </w:r>
      <w:r w:rsidR="00147A91">
        <w:t xml:space="preserve">donde </w:t>
      </w:r>
      <w:r w:rsidR="00563834">
        <w:t xml:space="preserve">se almacene </w:t>
      </w:r>
      <w:r w:rsidR="00147A91">
        <w:t>la totalidad de las acciones judiciales llevadas a cabo durante el año en curso, identificando claramente</w:t>
      </w:r>
      <w:r w:rsidR="00563834">
        <w:t xml:space="preserve">, a lo menos, </w:t>
      </w:r>
      <w:r w:rsidR="00147A91">
        <w:t>el nombre del deudor, el RUT del deudor, el monto adeudado, la fecha de inicio de las acciones de cobranza prejudicial, la fecha de inicio de las acciones de cobranza judicial, y el estado en el cual se encuentran las acciones de cobro.</w:t>
      </w:r>
      <w:r w:rsidR="003D43DF">
        <w:t xml:space="preserve"> </w:t>
      </w:r>
      <w:r w:rsidR="00563834">
        <w:t xml:space="preserve">La referida información </w:t>
      </w:r>
      <w:r w:rsidR="003D43DF">
        <w:t>debe</w:t>
      </w:r>
      <w:r w:rsidR="00147A91">
        <w:t xml:space="preserve"> estar a disposición de esta Superintendencia para efecto de las fiscalizaciones periódicas que ésta realice.</w:t>
      </w:r>
    </w:p>
    <w:p w:rsidR="00B52D97" w:rsidRDefault="00B52D97" w:rsidP="002F7165">
      <w:pPr>
        <w:jc w:val="both"/>
      </w:pPr>
    </w:p>
    <w:p w:rsidR="0085002C" w:rsidRPr="00A62C78" w:rsidRDefault="0085002C" w:rsidP="0085002C">
      <w:pPr>
        <w:pStyle w:val="Ttulo1"/>
        <w:numPr>
          <w:ilvl w:val="0"/>
          <w:numId w:val="2"/>
        </w:numPr>
        <w:ind w:left="426" w:hanging="426"/>
        <w:rPr>
          <w:lang w:val="es-ES"/>
        </w:rPr>
      </w:pPr>
      <w:bookmarkStart w:id="20" w:name="_Toc461613625"/>
      <w:bookmarkStart w:id="21" w:name="_Toc462331290"/>
      <w:r>
        <w:rPr>
          <w:lang w:val="es-ES"/>
        </w:rPr>
        <w:t>Vigencia</w:t>
      </w:r>
      <w:bookmarkEnd w:id="20"/>
      <w:bookmarkEnd w:id="21"/>
    </w:p>
    <w:p w:rsidR="0085002C" w:rsidRDefault="0085002C" w:rsidP="002F7165">
      <w:pPr>
        <w:jc w:val="both"/>
      </w:pPr>
    </w:p>
    <w:p w:rsidR="00E20A2B" w:rsidRDefault="00E20A2B" w:rsidP="00E20A2B">
      <w:pPr>
        <w:ind w:left="426"/>
        <w:jc w:val="both"/>
      </w:pPr>
      <w:r>
        <w:t>El cumplimiento de las exigencias de la presente circula será de carácter obligatorio a contar del 1° d</w:t>
      </w:r>
      <w:r w:rsidR="00D20719">
        <w:t>e enero de 2017. A partir de es</w:t>
      </w:r>
      <w:r>
        <w:t>a fecha</w:t>
      </w:r>
      <w:r w:rsidR="00EF7526">
        <w:t xml:space="preserve"> se deroga</w:t>
      </w:r>
      <w:r>
        <w:t xml:space="preserve"> la Circular N°</w:t>
      </w:r>
      <w:r w:rsidR="004A547C">
        <w:t xml:space="preserve"> </w:t>
      </w:r>
      <w:r>
        <w:t>2.087</w:t>
      </w:r>
      <w:r w:rsidR="00EF7526">
        <w:t>, de 2003.</w:t>
      </w:r>
    </w:p>
    <w:p w:rsidR="00DF5D65" w:rsidRDefault="00DF5D65" w:rsidP="002F7165">
      <w:pPr>
        <w:jc w:val="both"/>
      </w:pPr>
    </w:p>
    <w:p w:rsidR="002F7165" w:rsidRPr="00A62C78" w:rsidRDefault="002F7165" w:rsidP="002F7165">
      <w:pPr>
        <w:jc w:val="both"/>
      </w:pPr>
      <w:r w:rsidRPr="00A62C78">
        <w:t>Saluda atentamente a Usted.</w:t>
      </w:r>
    </w:p>
    <w:p w:rsidR="0042696A" w:rsidRDefault="0042696A" w:rsidP="002F7165"/>
    <w:p w:rsidR="00523DD2" w:rsidRDefault="00523DD2" w:rsidP="002F7165"/>
    <w:p w:rsidR="0042696A" w:rsidRDefault="0042696A" w:rsidP="0084028B"/>
    <w:p w:rsidR="002F7165" w:rsidRPr="0034767E" w:rsidRDefault="002F7165" w:rsidP="002F7165">
      <w:pPr>
        <w:jc w:val="both"/>
        <w:rPr>
          <w:rFonts w:cs="Arial"/>
        </w:rPr>
      </w:pPr>
    </w:p>
    <w:p w:rsidR="002F7165" w:rsidRPr="0034767E" w:rsidRDefault="002F7165" w:rsidP="002F7165">
      <w:pPr>
        <w:ind w:left="3969"/>
        <w:jc w:val="center"/>
        <w:rPr>
          <w:rFonts w:cs="Arial"/>
          <w:b/>
          <w:color w:val="000000"/>
          <w:lang w:val="es-MX"/>
        </w:rPr>
      </w:pPr>
      <w:r w:rsidRPr="0034767E">
        <w:rPr>
          <w:rFonts w:cs="Arial"/>
          <w:b/>
          <w:color w:val="000000"/>
          <w:lang w:val="es-MX"/>
        </w:rPr>
        <w:t>CLAUDIO REYES BARRIENTOS</w:t>
      </w:r>
    </w:p>
    <w:p w:rsidR="002F7165" w:rsidRPr="0034767E" w:rsidRDefault="002F7165" w:rsidP="002F7165">
      <w:pPr>
        <w:ind w:left="3969"/>
        <w:jc w:val="center"/>
        <w:rPr>
          <w:rFonts w:cs="Arial"/>
          <w:b/>
          <w:color w:val="000000"/>
          <w:lang w:val="es-MX"/>
        </w:rPr>
      </w:pPr>
      <w:r w:rsidRPr="0034767E">
        <w:rPr>
          <w:rFonts w:cs="Arial"/>
          <w:b/>
          <w:color w:val="000000"/>
          <w:lang w:val="es-MX"/>
        </w:rPr>
        <w:t>SUPERINTENDENTE DE SEGURIDAD SOCIAL</w:t>
      </w:r>
    </w:p>
    <w:p w:rsidR="002F7165" w:rsidRDefault="002F7165" w:rsidP="002F7165">
      <w:pPr>
        <w:jc w:val="both"/>
        <w:rPr>
          <w:rFonts w:cs="Arial"/>
          <w:bCs/>
          <w:sz w:val="20"/>
          <w:szCs w:val="22"/>
          <w:lang w:val="es-CL"/>
        </w:rPr>
      </w:pPr>
    </w:p>
    <w:p w:rsidR="002F7165" w:rsidRDefault="002F7165" w:rsidP="002F7165">
      <w:pPr>
        <w:jc w:val="both"/>
        <w:rPr>
          <w:rFonts w:cs="Arial"/>
          <w:bCs/>
          <w:sz w:val="20"/>
          <w:szCs w:val="22"/>
          <w:lang w:val="es-CL"/>
        </w:rPr>
      </w:pPr>
    </w:p>
    <w:p w:rsidR="002F7165" w:rsidRPr="0034767E" w:rsidRDefault="002F7165" w:rsidP="002F7165">
      <w:pPr>
        <w:jc w:val="both"/>
        <w:rPr>
          <w:rFonts w:cs="Arial"/>
          <w:bCs/>
          <w:sz w:val="20"/>
          <w:szCs w:val="22"/>
          <w:lang w:val="es-CL"/>
        </w:rPr>
      </w:pPr>
      <w:r>
        <w:rPr>
          <w:rFonts w:cs="Arial"/>
          <w:bCs/>
          <w:sz w:val="20"/>
          <w:szCs w:val="22"/>
          <w:lang w:val="es-CL"/>
        </w:rPr>
        <w:t>EDM/PGC/ETS/RAM</w:t>
      </w:r>
      <w:r w:rsidRPr="0034767E">
        <w:rPr>
          <w:rFonts w:cs="Arial"/>
          <w:bCs/>
          <w:sz w:val="20"/>
          <w:szCs w:val="22"/>
          <w:lang w:val="es-CL"/>
        </w:rPr>
        <w:t xml:space="preserve"> </w:t>
      </w:r>
    </w:p>
    <w:p w:rsidR="002F7165" w:rsidRPr="0034767E" w:rsidRDefault="002F7165" w:rsidP="002F7165">
      <w:pPr>
        <w:autoSpaceDE w:val="0"/>
        <w:autoSpaceDN w:val="0"/>
        <w:adjustRightInd w:val="0"/>
        <w:rPr>
          <w:rFonts w:cs="Arial"/>
          <w:bCs/>
          <w:sz w:val="20"/>
          <w:szCs w:val="22"/>
          <w:u w:val="single"/>
        </w:rPr>
      </w:pPr>
      <w:r w:rsidRPr="0034767E">
        <w:rPr>
          <w:rFonts w:cs="Arial"/>
          <w:bCs/>
          <w:sz w:val="20"/>
          <w:szCs w:val="22"/>
          <w:u w:val="single"/>
        </w:rPr>
        <w:t xml:space="preserve">DISTRIBUCIÓN </w:t>
      </w:r>
    </w:p>
    <w:p w:rsidR="002F7165" w:rsidRDefault="002F7165" w:rsidP="002F7165">
      <w:pPr>
        <w:autoSpaceDE w:val="0"/>
        <w:autoSpaceDN w:val="0"/>
        <w:adjustRightInd w:val="0"/>
        <w:rPr>
          <w:rFonts w:cs="Arial"/>
          <w:bCs/>
          <w:sz w:val="20"/>
          <w:szCs w:val="22"/>
        </w:rPr>
      </w:pPr>
      <w:r w:rsidRPr="0034767E">
        <w:rPr>
          <w:rFonts w:cs="Arial"/>
          <w:bCs/>
          <w:sz w:val="20"/>
          <w:szCs w:val="22"/>
        </w:rPr>
        <w:t>- Mutualidades de Empleadores de la Ley N° 16.744</w:t>
      </w:r>
    </w:p>
    <w:p w:rsidR="002F7165" w:rsidRPr="0034767E" w:rsidRDefault="002F7165" w:rsidP="002F7165">
      <w:pPr>
        <w:autoSpaceDE w:val="0"/>
        <w:autoSpaceDN w:val="0"/>
        <w:adjustRightInd w:val="0"/>
        <w:rPr>
          <w:rFonts w:cs="Arial"/>
          <w:bCs/>
          <w:sz w:val="20"/>
          <w:szCs w:val="22"/>
        </w:rPr>
      </w:pPr>
      <w:r w:rsidRPr="0034767E">
        <w:rPr>
          <w:rFonts w:cs="Arial"/>
          <w:bCs/>
          <w:sz w:val="20"/>
          <w:szCs w:val="22"/>
        </w:rPr>
        <w:t>- Oficina de Partes</w:t>
      </w:r>
    </w:p>
    <w:p w:rsidR="008D6098" w:rsidRDefault="002F7165" w:rsidP="0084028B">
      <w:pPr>
        <w:autoSpaceDE w:val="0"/>
        <w:autoSpaceDN w:val="0"/>
        <w:adjustRightInd w:val="0"/>
        <w:rPr>
          <w:rFonts w:cs="Arial"/>
          <w:bCs/>
          <w:sz w:val="20"/>
          <w:szCs w:val="22"/>
        </w:rPr>
      </w:pPr>
      <w:r w:rsidRPr="0034767E">
        <w:rPr>
          <w:rFonts w:cs="Arial"/>
          <w:bCs/>
          <w:sz w:val="20"/>
          <w:szCs w:val="22"/>
        </w:rPr>
        <w:t>- Archivo Central</w:t>
      </w:r>
      <w:r w:rsidR="008D6098">
        <w:rPr>
          <w:rFonts w:cs="Arial"/>
          <w:bCs/>
          <w:sz w:val="20"/>
          <w:szCs w:val="22"/>
        </w:rPr>
        <w:br w:type="page"/>
      </w:r>
    </w:p>
    <w:p w:rsidR="008D6098" w:rsidRPr="00B133DC" w:rsidRDefault="008D6098" w:rsidP="008D6098">
      <w:pPr>
        <w:widowControl w:val="0"/>
        <w:spacing w:line="322" w:lineRule="exact"/>
        <w:jc w:val="center"/>
        <w:rPr>
          <w:rFonts w:eastAsia="Arial Unicode MS" w:cs="Arial"/>
          <w:b/>
          <w:spacing w:val="-4"/>
          <w:sz w:val="20"/>
          <w:szCs w:val="20"/>
        </w:rPr>
      </w:pPr>
      <w:r w:rsidRPr="00B133DC">
        <w:rPr>
          <w:rFonts w:eastAsia="Arial Unicode MS" w:cs="Arial"/>
          <w:b/>
          <w:spacing w:val="-4"/>
          <w:sz w:val="20"/>
          <w:szCs w:val="20"/>
        </w:rPr>
        <w:t>ANEXO 1</w:t>
      </w:r>
    </w:p>
    <w:p w:rsidR="008D6098" w:rsidRPr="00B133DC" w:rsidRDefault="008D6098" w:rsidP="008D6098">
      <w:pPr>
        <w:widowControl w:val="0"/>
        <w:spacing w:line="322" w:lineRule="exact"/>
        <w:jc w:val="center"/>
        <w:rPr>
          <w:rFonts w:eastAsia="Arial Unicode MS" w:cs="Arial"/>
          <w:b/>
          <w:spacing w:val="-4"/>
          <w:sz w:val="20"/>
          <w:szCs w:val="20"/>
        </w:rPr>
      </w:pPr>
    </w:p>
    <w:p w:rsidR="008D6098" w:rsidRPr="00B133DC" w:rsidRDefault="008D6098" w:rsidP="008D6098">
      <w:pPr>
        <w:jc w:val="center"/>
        <w:rPr>
          <w:rFonts w:eastAsia="Arial Unicode MS" w:cs="Arial"/>
          <w:b/>
          <w:spacing w:val="-1"/>
          <w:sz w:val="20"/>
          <w:szCs w:val="20"/>
        </w:rPr>
      </w:pPr>
      <w:r w:rsidRPr="00B133DC">
        <w:rPr>
          <w:rFonts w:eastAsia="Arial Unicode MS" w:cs="Arial"/>
          <w:b/>
          <w:spacing w:val="-1"/>
          <w:sz w:val="20"/>
          <w:szCs w:val="20"/>
        </w:rPr>
        <w:t>INSTRUCCIONES GENERALES</w:t>
      </w:r>
    </w:p>
    <w:p w:rsidR="008D6098" w:rsidRPr="00B133DC" w:rsidRDefault="008D6098" w:rsidP="008D6098">
      <w:pPr>
        <w:rPr>
          <w:rFonts w:eastAsia="Arial Unicode MS" w:cs="Arial"/>
          <w:b/>
          <w:spacing w:val="-3"/>
          <w:sz w:val="20"/>
          <w:szCs w:val="20"/>
        </w:rPr>
      </w:pPr>
    </w:p>
    <w:p w:rsidR="008D6098" w:rsidRPr="00B133DC" w:rsidRDefault="008D6098" w:rsidP="008D6098">
      <w:pPr>
        <w:pStyle w:val="Prrafodelista"/>
        <w:numPr>
          <w:ilvl w:val="1"/>
          <w:numId w:val="15"/>
        </w:numPr>
        <w:ind w:left="426" w:hanging="426"/>
        <w:jc w:val="both"/>
        <w:rPr>
          <w:rFonts w:eastAsia="Arial Unicode MS" w:cs="Arial"/>
          <w:b/>
          <w:spacing w:val="-3"/>
          <w:sz w:val="20"/>
          <w:szCs w:val="20"/>
        </w:rPr>
      </w:pPr>
      <w:r w:rsidRPr="00B133DC">
        <w:rPr>
          <w:rFonts w:eastAsia="Arial Unicode MS" w:cs="Arial"/>
          <w:b/>
          <w:spacing w:val="-3"/>
          <w:sz w:val="20"/>
          <w:szCs w:val="20"/>
        </w:rPr>
        <w:t>Nombre de</w:t>
      </w:r>
      <w:r w:rsidR="00DD2672" w:rsidRPr="00B133DC">
        <w:rPr>
          <w:rFonts w:eastAsia="Arial Unicode MS" w:cs="Arial"/>
          <w:b/>
          <w:spacing w:val="-3"/>
          <w:sz w:val="20"/>
          <w:szCs w:val="20"/>
        </w:rPr>
        <w:t>l a</w:t>
      </w:r>
      <w:r w:rsidRPr="00B133DC">
        <w:rPr>
          <w:rFonts w:eastAsia="Arial Unicode MS" w:cs="Arial"/>
          <w:b/>
          <w:spacing w:val="-3"/>
          <w:sz w:val="20"/>
          <w:szCs w:val="20"/>
        </w:rPr>
        <w:t>rchivo</w:t>
      </w:r>
    </w:p>
    <w:p w:rsidR="008D6098" w:rsidRPr="00B133DC" w:rsidRDefault="008D6098" w:rsidP="008D6098">
      <w:pPr>
        <w:ind w:left="360"/>
        <w:rPr>
          <w:rFonts w:eastAsia="Arial Unicode MS" w:cs="Arial"/>
          <w:spacing w:val="-3"/>
          <w:sz w:val="20"/>
          <w:szCs w:val="20"/>
        </w:rPr>
      </w:pPr>
    </w:p>
    <w:p w:rsidR="008D6098" w:rsidRPr="00B133DC" w:rsidRDefault="008D6098" w:rsidP="00DD2672">
      <w:pPr>
        <w:ind w:left="360"/>
        <w:jc w:val="both"/>
        <w:rPr>
          <w:rFonts w:eastAsia="Arial Unicode MS" w:cs="Arial"/>
          <w:spacing w:val="-3"/>
          <w:sz w:val="20"/>
          <w:szCs w:val="20"/>
        </w:rPr>
      </w:pPr>
      <w:r w:rsidRPr="00B133DC">
        <w:rPr>
          <w:rFonts w:eastAsia="Arial Unicode MS" w:cs="Arial"/>
          <w:spacing w:val="-3"/>
          <w:sz w:val="20"/>
          <w:szCs w:val="20"/>
        </w:rPr>
        <w:t xml:space="preserve">El detalle de las deudas </w:t>
      </w:r>
      <w:r w:rsidR="00DD2672" w:rsidRPr="00B133DC">
        <w:rPr>
          <w:rFonts w:eastAsia="Arial Unicode MS" w:cs="Arial"/>
          <w:spacing w:val="-3"/>
          <w:sz w:val="20"/>
          <w:szCs w:val="20"/>
        </w:rPr>
        <w:t>respecto de las</w:t>
      </w:r>
      <w:r w:rsidRPr="00B133DC">
        <w:rPr>
          <w:rFonts w:eastAsia="Arial Unicode MS" w:cs="Arial"/>
          <w:spacing w:val="-3"/>
          <w:sz w:val="20"/>
          <w:szCs w:val="20"/>
        </w:rPr>
        <w:t xml:space="preserve"> cual</w:t>
      </w:r>
      <w:r w:rsidR="00DD2672" w:rsidRPr="00B133DC">
        <w:rPr>
          <w:rFonts w:eastAsia="Arial Unicode MS" w:cs="Arial"/>
          <w:spacing w:val="-3"/>
          <w:sz w:val="20"/>
          <w:szCs w:val="20"/>
        </w:rPr>
        <w:t>es</w:t>
      </w:r>
      <w:r w:rsidRPr="00B133DC">
        <w:rPr>
          <w:rFonts w:eastAsia="Arial Unicode MS" w:cs="Arial"/>
          <w:spacing w:val="-3"/>
          <w:sz w:val="20"/>
          <w:szCs w:val="20"/>
        </w:rPr>
        <w:t xml:space="preserve"> se solicita el castigo, deberá ser remitido en un archivo plano, con el siguiente nombre:</w:t>
      </w:r>
    </w:p>
    <w:p w:rsidR="008D6098" w:rsidRPr="00B133DC" w:rsidRDefault="008D6098" w:rsidP="008D6098">
      <w:pPr>
        <w:ind w:left="851"/>
        <w:rPr>
          <w:rFonts w:eastAsia="Arial Unicode MS" w:cs="Arial"/>
          <w:spacing w:val="-3"/>
          <w:sz w:val="20"/>
          <w:szCs w:val="20"/>
        </w:rPr>
      </w:pPr>
    </w:p>
    <w:p w:rsidR="008D6098" w:rsidRPr="00B133DC" w:rsidRDefault="00B133DC" w:rsidP="008D6098">
      <w:pPr>
        <w:ind w:left="851"/>
        <w:jc w:val="center"/>
        <w:rPr>
          <w:rFonts w:eastAsia="Arial Unicode MS" w:cs="Arial"/>
          <w:spacing w:val="-3"/>
          <w:sz w:val="20"/>
          <w:szCs w:val="20"/>
        </w:rPr>
      </w:pPr>
      <w:r w:rsidRPr="00B133DC">
        <w:rPr>
          <w:rFonts w:eastAsia="Arial Unicode MS" w:cs="Arial"/>
          <w:spacing w:val="-3"/>
          <w:sz w:val="20"/>
          <w:szCs w:val="20"/>
        </w:rPr>
        <w:t>E</w:t>
      </w:r>
      <w:r w:rsidR="008D6098" w:rsidRPr="00B133DC">
        <w:rPr>
          <w:rFonts w:eastAsia="Arial Unicode MS" w:cs="Arial"/>
          <w:spacing w:val="-3"/>
          <w:sz w:val="20"/>
          <w:szCs w:val="20"/>
        </w:rPr>
        <w:t>E_</w:t>
      </w:r>
      <w:r w:rsidR="00DD2672" w:rsidRPr="00B133DC">
        <w:rPr>
          <w:rFonts w:eastAsia="Arial Unicode MS" w:cs="Arial"/>
          <w:spacing w:val="-3"/>
          <w:sz w:val="20"/>
          <w:szCs w:val="20"/>
        </w:rPr>
        <w:t>NOMBREARCHIVO</w:t>
      </w:r>
      <w:r w:rsidR="008D6098" w:rsidRPr="00B133DC">
        <w:rPr>
          <w:rFonts w:eastAsia="Arial Unicode MS" w:cs="Arial"/>
          <w:spacing w:val="-3"/>
          <w:sz w:val="20"/>
          <w:szCs w:val="20"/>
        </w:rPr>
        <w:t>_AÑOMES.CSV</w:t>
      </w:r>
    </w:p>
    <w:p w:rsidR="008D6098" w:rsidRPr="00B133DC" w:rsidRDefault="008D6098" w:rsidP="008D6098">
      <w:pPr>
        <w:ind w:left="851"/>
        <w:rPr>
          <w:rFonts w:eastAsia="Arial Unicode MS" w:cs="Arial"/>
          <w:spacing w:val="-3"/>
          <w:sz w:val="20"/>
          <w:szCs w:val="20"/>
        </w:rPr>
      </w:pPr>
    </w:p>
    <w:p w:rsidR="008D6098" w:rsidRPr="00B133DC" w:rsidRDefault="008D6098" w:rsidP="008D6098">
      <w:pPr>
        <w:ind w:left="851"/>
        <w:rPr>
          <w:rFonts w:eastAsia="Arial Unicode MS" w:cs="Arial"/>
          <w:spacing w:val="-3"/>
          <w:sz w:val="20"/>
          <w:szCs w:val="20"/>
        </w:rPr>
      </w:pPr>
      <w:proofErr w:type="spellStart"/>
      <w:r w:rsidRPr="00B133DC">
        <w:rPr>
          <w:rFonts w:eastAsia="Arial Unicode MS" w:cs="Arial"/>
          <w:spacing w:val="-3"/>
          <w:sz w:val="20"/>
          <w:szCs w:val="20"/>
        </w:rPr>
        <w:t>Donde</w:t>
      </w:r>
      <w:proofErr w:type="spellEnd"/>
      <w:r w:rsidRPr="00B133DC">
        <w:rPr>
          <w:rFonts w:eastAsia="Arial Unicode MS" w:cs="Arial"/>
          <w:spacing w:val="-3"/>
          <w:sz w:val="20"/>
          <w:szCs w:val="20"/>
        </w:rPr>
        <w:t>:</w:t>
      </w:r>
    </w:p>
    <w:p w:rsidR="008D6098" w:rsidRPr="00B133DC" w:rsidRDefault="008D6098" w:rsidP="008D6098">
      <w:pPr>
        <w:ind w:left="851"/>
        <w:rPr>
          <w:rFonts w:eastAsia="Arial Unicode MS" w:cs="Arial"/>
          <w:spacing w:val="-3"/>
          <w:sz w:val="20"/>
          <w:szCs w:val="20"/>
        </w:rPr>
      </w:pPr>
    </w:p>
    <w:p w:rsidR="008D6098" w:rsidRPr="00B133DC" w:rsidRDefault="00B133DC" w:rsidP="008D6098">
      <w:pPr>
        <w:ind w:left="851"/>
        <w:rPr>
          <w:rFonts w:eastAsia="Arial Unicode MS" w:cs="Arial"/>
          <w:spacing w:val="-3"/>
          <w:sz w:val="20"/>
          <w:szCs w:val="20"/>
        </w:rPr>
      </w:pPr>
      <w:r w:rsidRPr="00B133DC">
        <w:rPr>
          <w:rFonts w:eastAsia="Arial Unicode MS" w:cs="Arial"/>
          <w:spacing w:val="-3"/>
          <w:sz w:val="20"/>
          <w:szCs w:val="20"/>
        </w:rPr>
        <w:t>E</w:t>
      </w:r>
      <w:r w:rsidR="008D6098" w:rsidRPr="00B133DC">
        <w:rPr>
          <w:rFonts w:eastAsia="Arial Unicode MS" w:cs="Arial"/>
          <w:spacing w:val="-3"/>
          <w:sz w:val="20"/>
          <w:szCs w:val="20"/>
        </w:rPr>
        <w:t xml:space="preserve">E = Código de la Entidad, detallado en el </w:t>
      </w:r>
      <w:r w:rsidR="00DF5D65">
        <w:rPr>
          <w:rFonts w:eastAsia="Arial Unicode MS" w:cs="Arial"/>
          <w:spacing w:val="-3"/>
          <w:sz w:val="20"/>
          <w:szCs w:val="20"/>
        </w:rPr>
        <w:t>numeral</w:t>
      </w:r>
      <w:r w:rsidR="008D6098" w:rsidRPr="00B133DC">
        <w:rPr>
          <w:rFonts w:eastAsia="Arial Unicode MS" w:cs="Arial"/>
          <w:spacing w:val="-3"/>
          <w:sz w:val="20"/>
          <w:szCs w:val="20"/>
        </w:rPr>
        <w:t xml:space="preserve"> 2 del presente anexo.</w:t>
      </w:r>
    </w:p>
    <w:p w:rsidR="008D6098" w:rsidRPr="00B133DC" w:rsidRDefault="008D6098" w:rsidP="008D6098">
      <w:pPr>
        <w:ind w:left="851"/>
        <w:rPr>
          <w:rFonts w:eastAsia="Arial Unicode MS" w:cs="Arial"/>
          <w:spacing w:val="-3"/>
          <w:sz w:val="20"/>
          <w:szCs w:val="20"/>
        </w:rPr>
      </w:pPr>
    </w:p>
    <w:p w:rsidR="008D6098" w:rsidRPr="00B133DC" w:rsidRDefault="008D6098" w:rsidP="008D6098">
      <w:pPr>
        <w:ind w:left="851"/>
        <w:rPr>
          <w:rFonts w:eastAsia="Arial Unicode MS" w:cs="Arial"/>
          <w:spacing w:val="-3"/>
          <w:sz w:val="20"/>
          <w:szCs w:val="20"/>
        </w:rPr>
      </w:pPr>
      <w:r w:rsidRPr="00B133DC">
        <w:rPr>
          <w:rFonts w:eastAsia="Arial Unicode MS" w:cs="Arial"/>
          <w:spacing w:val="-3"/>
          <w:sz w:val="20"/>
          <w:szCs w:val="20"/>
        </w:rPr>
        <w:t>AÑOMES= Corresponde al año y mes al que se refiere la información que se reporta.</w:t>
      </w:r>
    </w:p>
    <w:p w:rsidR="00DD2672" w:rsidRPr="00B133DC" w:rsidRDefault="00DD2672" w:rsidP="008D6098">
      <w:pPr>
        <w:ind w:left="851"/>
        <w:rPr>
          <w:rFonts w:eastAsia="Arial Unicode MS" w:cs="Arial"/>
          <w:spacing w:val="-3"/>
          <w:sz w:val="20"/>
          <w:szCs w:val="20"/>
        </w:rPr>
      </w:pPr>
    </w:p>
    <w:p w:rsidR="00DD2672" w:rsidRPr="00B133DC" w:rsidRDefault="00DD2672" w:rsidP="008D6098">
      <w:pPr>
        <w:ind w:left="851"/>
        <w:rPr>
          <w:rFonts w:eastAsia="Arial Unicode MS" w:cs="Arial"/>
          <w:spacing w:val="-3"/>
          <w:sz w:val="20"/>
          <w:szCs w:val="20"/>
        </w:rPr>
      </w:pPr>
      <w:r w:rsidRPr="00B133DC">
        <w:rPr>
          <w:rFonts w:eastAsia="Arial Unicode MS" w:cs="Arial"/>
          <w:spacing w:val="-3"/>
          <w:sz w:val="20"/>
          <w:szCs w:val="20"/>
        </w:rPr>
        <w:t>NOMBREARCHIVO: Corresponde al nombre del archivo de acuerdo a la información remitida según el siguiente cuadro:</w:t>
      </w:r>
    </w:p>
    <w:p w:rsidR="00DD2672" w:rsidRPr="00B133DC" w:rsidRDefault="00DD2672" w:rsidP="008D6098">
      <w:pPr>
        <w:ind w:left="851"/>
        <w:rPr>
          <w:rFonts w:eastAsia="Arial Unicode MS" w:cs="Arial"/>
          <w:spacing w:val="-3"/>
          <w:sz w:val="20"/>
          <w:szCs w:val="20"/>
        </w:rPr>
      </w:pPr>
    </w:p>
    <w:tbl>
      <w:tblPr>
        <w:tblW w:w="3640" w:type="pct"/>
        <w:jc w:val="center"/>
        <w:tblInd w:w="-678" w:type="dxa"/>
        <w:tblLayout w:type="fixed"/>
        <w:tblCellMar>
          <w:left w:w="70" w:type="dxa"/>
          <w:right w:w="70" w:type="dxa"/>
        </w:tblCellMar>
        <w:tblLook w:val="04A0" w:firstRow="1" w:lastRow="0" w:firstColumn="1" w:lastColumn="0" w:noHBand="0" w:noVBand="1"/>
      </w:tblPr>
      <w:tblGrid>
        <w:gridCol w:w="3292"/>
        <w:gridCol w:w="3244"/>
      </w:tblGrid>
      <w:tr w:rsidR="00DD2672" w:rsidRPr="00B133DC" w:rsidTr="00DD2672">
        <w:trPr>
          <w:trHeight w:val="255"/>
          <w:jc w:val="center"/>
        </w:trPr>
        <w:tc>
          <w:tcPr>
            <w:tcW w:w="2518" w:type="pct"/>
            <w:tcBorders>
              <w:top w:val="single" w:sz="4" w:space="0" w:color="000000"/>
              <w:left w:val="single" w:sz="4" w:space="0" w:color="000000"/>
              <w:bottom w:val="single" w:sz="4" w:space="0" w:color="000000"/>
              <w:right w:val="single" w:sz="4" w:space="0" w:color="000000"/>
            </w:tcBorders>
            <w:shd w:val="clear" w:color="CCCCFF" w:fill="CCCCCC"/>
            <w:noWrap/>
            <w:vAlign w:val="bottom"/>
            <w:hideMark/>
          </w:tcPr>
          <w:p w:rsidR="00DD2672" w:rsidRPr="00B133DC" w:rsidRDefault="00DD2672" w:rsidP="00DD2672">
            <w:pPr>
              <w:jc w:val="center"/>
              <w:rPr>
                <w:rFonts w:cs="Arial"/>
                <w:b/>
                <w:bCs/>
                <w:sz w:val="20"/>
                <w:szCs w:val="20"/>
              </w:rPr>
            </w:pPr>
            <w:r w:rsidRPr="00B133DC">
              <w:rPr>
                <w:rFonts w:cs="Arial"/>
                <w:b/>
                <w:bCs/>
                <w:sz w:val="20"/>
                <w:szCs w:val="20"/>
              </w:rPr>
              <w:t>INFORMACIÓN REMITIDA</w:t>
            </w:r>
          </w:p>
        </w:tc>
        <w:tc>
          <w:tcPr>
            <w:tcW w:w="2482" w:type="pct"/>
            <w:tcBorders>
              <w:top w:val="single" w:sz="4" w:space="0" w:color="000000"/>
              <w:left w:val="nil"/>
              <w:bottom w:val="single" w:sz="4" w:space="0" w:color="000000"/>
              <w:right w:val="single" w:sz="4" w:space="0" w:color="000000"/>
            </w:tcBorders>
            <w:shd w:val="clear" w:color="CCCCFF" w:fill="CCCCCC"/>
            <w:noWrap/>
            <w:vAlign w:val="bottom"/>
            <w:hideMark/>
          </w:tcPr>
          <w:p w:rsidR="00DD2672" w:rsidRPr="00B133DC" w:rsidRDefault="00DD2672" w:rsidP="00E32549">
            <w:pPr>
              <w:jc w:val="center"/>
              <w:rPr>
                <w:rFonts w:cs="Arial"/>
                <w:b/>
                <w:sz w:val="20"/>
                <w:szCs w:val="20"/>
              </w:rPr>
            </w:pPr>
            <w:r w:rsidRPr="00B133DC">
              <w:rPr>
                <w:rFonts w:cs="Arial"/>
                <w:b/>
                <w:sz w:val="20"/>
                <w:szCs w:val="20"/>
              </w:rPr>
              <w:t>NOMBRE DEL ARCHIVO</w:t>
            </w:r>
          </w:p>
        </w:tc>
      </w:tr>
      <w:tr w:rsidR="00DD2672" w:rsidRPr="00B133DC" w:rsidTr="00DD2672">
        <w:trPr>
          <w:trHeight w:val="451"/>
          <w:jc w:val="center"/>
        </w:trPr>
        <w:tc>
          <w:tcPr>
            <w:tcW w:w="2518" w:type="pct"/>
            <w:tcBorders>
              <w:top w:val="nil"/>
              <w:left w:val="single" w:sz="4" w:space="0" w:color="000000"/>
              <w:bottom w:val="single" w:sz="4" w:space="0" w:color="auto"/>
              <w:right w:val="single" w:sz="4" w:space="0" w:color="000000"/>
            </w:tcBorders>
            <w:shd w:val="clear" w:color="auto" w:fill="auto"/>
            <w:noWrap/>
            <w:vAlign w:val="center"/>
            <w:hideMark/>
          </w:tcPr>
          <w:p w:rsidR="00DD2672" w:rsidRPr="00B133DC" w:rsidRDefault="00DD2672" w:rsidP="00DD2672">
            <w:pPr>
              <w:rPr>
                <w:rFonts w:cs="Arial"/>
                <w:sz w:val="20"/>
                <w:szCs w:val="20"/>
              </w:rPr>
            </w:pPr>
            <w:r w:rsidRPr="00B133DC">
              <w:rPr>
                <w:rFonts w:cs="Arial"/>
                <w:sz w:val="20"/>
                <w:szCs w:val="20"/>
              </w:rPr>
              <w:t>Castigos de deudas previsionales</w:t>
            </w:r>
          </w:p>
        </w:tc>
        <w:tc>
          <w:tcPr>
            <w:tcW w:w="2482" w:type="pct"/>
            <w:tcBorders>
              <w:top w:val="nil"/>
              <w:left w:val="nil"/>
              <w:bottom w:val="single" w:sz="4" w:space="0" w:color="auto"/>
              <w:right w:val="single" w:sz="4" w:space="0" w:color="000000"/>
            </w:tcBorders>
            <w:shd w:val="clear" w:color="auto" w:fill="auto"/>
            <w:noWrap/>
            <w:vAlign w:val="center"/>
            <w:hideMark/>
          </w:tcPr>
          <w:p w:rsidR="00DD2672" w:rsidRPr="00B133DC" w:rsidRDefault="00DD2672" w:rsidP="00DD2672">
            <w:pPr>
              <w:jc w:val="center"/>
              <w:rPr>
                <w:rFonts w:cs="Arial"/>
                <w:sz w:val="20"/>
                <w:szCs w:val="20"/>
              </w:rPr>
            </w:pPr>
            <w:r w:rsidRPr="00B133DC">
              <w:rPr>
                <w:rFonts w:cs="Arial"/>
                <w:sz w:val="20"/>
                <w:szCs w:val="20"/>
              </w:rPr>
              <w:t>PREVISIONAL</w:t>
            </w:r>
          </w:p>
        </w:tc>
      </w:tr>
      <w:tr w:rsidR="00DD2672" w:rsidRPr="00B133DC" w:rsidTr="00DD2672">
        <w:trPr>
          <w:trHeight w:val="255"/>
          <w:jc w:val="center"/>
        </w:trPr>
        <w:tc>
          <w:tcPr>
            <w:tcW w:w="2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672" w:rsidRPr="00B133DC" w:rsidRDefault="00DD2672" w:rsidP="00B437D9">
            <w:pPr>
              <w:rPr>
                <w:rFonts w:cs="Arial"/>
                <w:sz w:val="20"/>
                <w:szCs w:val="20"/>
              </w:rPr>
            </w:pPr>
            <w:r w:rsidRPr="00B133DC">
              <w:rPr>
                <w:rFonts w:cs="Arial"/>
                <w:sz w:val="20"/>
                <w:szCs w:val="20"/>
              </w:rPr>
              <w:t xml:space="preserve">Castigos de deudas no previsionales </w:t>
            </w:r>
          </w:p>
        </w:tc>
        <w:tc>
          <w:tcPr>
            <w:tcW w:w="2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672" w:rsidRPr="00B133DC" w:rsidRDefault="00DD2672" w:rsidP="00DD2672">
            <w:pPr>
              <w:jc w:val="center"/>
              <w:rPr>
                <w:rFonts w:cs="Arial"/>
                <w:sz w:val="20"/>
                <w:szCs w:val="20"/>
              </w:rPr>
            </w:pPr>
            <w:r w:rsidRPr="00B133DC">
              <w:rPr>
                <w:rFonts w:cs="Arial"/>
                <w:sz w:val="20"/>
                <w:szCs w:val="20"/>
              </w:rPr>
              <w:t>NOPREVISIONAL</w:t>
            </w:r>
          </w:p>
        </w:tc>
      </w:tr>
    </w:tbl>
    <w:p w:rsidR="008D6098" w:rsidRPr="00B133DC" w:rsidRDefault="008D6098" w:rsidP="008D6098">
      <w:pPr>
        <w:ind w:left="851"/>
        <w:rPr>
          <w:rFonts w:eastAsia="Arial Unicode MS" w:cs="Arial"/>
          <w:spacing w:val="-3"/>
          <w:sz w:val="20"/>
          <w:szCs w:val="20"/>
        </w:rPr>
      </w:pPr>
    </w:p>
    <w:p w:rsidR="008D6098" w:rsidRPr="00B133DC" w:rsidRDefault="008D6098" w:rsidP="00B133DC">
      <w:pPr>
        <w:ind w:left="851"/>
        <w:jc w:val="both"/>
        <w:rPr>
          <w:rFonts w:eastAsia="Arial Unicode MS" w:cs="Arial"/>
          <w:spacing w:val="-3"/>
          <w:sz w:val="20"/>
          <w:szCs w:val="20"/>
        </w:rPr>
      </w:pPr>
      <w:r w:rsidRPr="00B133DC">
        <w:rPr>
          <w:rFonts w:eastAsia="Arial Unicode MS" w:cs="Arial"/>
          <w:b/>
          <w:i/>
          <w:spacing w:val="-3"/>
          <w:sz w:val="20"/>
          <w:szCs w:val="20"/>
        </w:rPr>
        <w:t>Ejemplo:</w:t>
      </w:r>
      <w:r w:rsidRPr="00B133DC">
        <w:rPr>
          <w:rFonts w:eastAsia="Arial Unicode MS" w:cs="Arial"/>
          <w:spacing w:val="-3"/>
          <w:sz w:val="20"/>
          <w:szCs w:val="20"/>
        </w:rPr>
        <w:t xml:space="preserve"> Si se está enviando la solicitud de castigo</w:t>
      </w:r>
      <w:r w:rsidR="00DD2672" w:rsidRPr="00B133DC">
        <w:rPr>
          <w:rFonts w:eastAsia="Arial Unicode MS" w:cs="Arial"/>
          <w:spacing w:val="-3"/>
          <w:sz w:val="20"/>
          <w:szCs w:val="20"/>
        </w:rPr>
        <w:t xml:space="preserve"> de deudas previsionales</w:t>
      </w:r>
      <w:r w:rsidRPr="00B133DC">
        <w:rPr>
          <w:rFonts w:eastAsia="Arial Unicode MS" w:cs="Arial"/>
          <w:spacing w:val="-3"/>
          <w:sz w:val="20"/>
          <w:szCs w:val="20"/>
        </w:rPr>
        <w:t xml:space="preserve"> referida al cierre del m</w:t>
      </w:r>
      <w:r w:rsidR="00DD2672" w:rsidRPr="00B133DC">
        <w:rPr>
          <w:rFonts w:eastAsia="Arial Unicode MS" w:cs="Arial"/>
          <w:spacing w:val="-3"/>
          <w:sz w:val="20"/>
          <w:szCs w:val="20"/>
        </w:rPr>
        <w:t>es de junio del año 2017</w:t>
      </w:r>
      <w:r w:rsidRPr="00B133DC">
        <w:rPr>
          <w:rFonts w:eastAsia="Arial Unicode MS" w:cs="Arial"/>
          <w:spacing w:val="-3"/>
          <w:sz w:val="20"/>
          <w:szCs w:val="20"/>
        </w:rPr>
        <w:t>, entonce</w:t>
      </w:r>
      <w:r w:rsidR="00B133DC" w:rsidRPr="00B133DC">
        <w:rPr>
          <w:rFonts w:eastAsia="Arial Unicode MS" w:cs="Arial"/>
          <w:spacing w:val="-3"/>
          <w:sz w:val="20"/>
          <w:szCs w:val="20"/>
        </w:rPr>
        <w:t>s el nombre del archivo será 11</w:t>
      </w:r>
      <w:r w:rsidRPr="00B133DC">
        <w:rPr>
          <w:rFonts w:eastAsia="Arial Unicode MS" w:cs="Arial"/>
          <w:spacing w:val="-3"/>
          <w:sz w:val="20"/>
          <w:szCs w:val="20"/>
        </w:rPr>
        <w:t>_</w:t>
      </w:r>
      <w:r w:rsidR="00DD2672" w:rsidRPr="00B133DC">
        <w:rPr>
          <w:rFonts w:eastAsia="Arial Unicode MS" w:cs="Arial"/>
          <w:spacing w:val="-3"/>
          <w:sz w:val="20"/>
          <w:szCs w:val="20"/>
        </w:rPr>
        <w:t>PREVISIONAL</w:t>
      </w:r>
      <w:r w:rsidRPr="00B133DC">
        <w:rPr>
          <w:rFonts w:eastAsia="Arial Unicode MS" w:cs="Arial"/>
          <w:spacing w:val="-3"/>
          <w:sz w:val="20"/>
          <w:szCs w:val="20"/>
        </w:rPr>
        <w:t>_</w:t>
      </w:r>
      <w:r w:rsidR="00DD2672" w:rsidRPr="00B133DC">
        <w:rPr>
          <w:rFonts w:eastAsia="Arial Unicode MS" w:cs="Arial"/>
          <w:spacing w:val="-3"/>
          <w:sz w:val="20"/>
          <w:szCs w:val="20"/>
        </w:rPr>
        <w:t>2017</w:t>
      </w:r>
      <w:r w:rsidRPr="00B133DC">
        <w:rPr>
          <w:rFonts w:eastAsia="Arial Unicode MS" w:cs="Arial"/>
          <w:spacing w:val="-3"/>
          <w:sz w:val="20"/>
          <w:szCs w:val="20"/>
        </w:rPr>
        <w:t>06.CSV, donde:</w:t>
      </w:r>
    </w:p>
    <w:p w:rsidR="008D6098" w:rsidRPr="00B133DC" w:rsidRDefault="008D6098" w:rsidP="008D6098">
      <w:pPr>
        <w:ind w:left="851"/>
        <w:rPr>
          <w:rFonts w:eastAsia="Arial Unicode MS" w:cs="Arial"/>
          <w:spacing w:val="-3"/>
          <w:sz w:val="20"/>
          <w:szCs w:val="20"/>
        </w:rPr>
      </w:pPr>
    </w:p>
    <w:p w:rsidR="008D6098" w:rsidRPr="00B133DC" w:rsidRDefault="00B133DC" w:rsidP="008D6098">
      <w:pPr>
        <w:pStyle w:val="Prrafodelista"/>
        <w:numPr>
          <w:ilvl w:val="0"/>
          <w:numId w:val="16"/>
        </w:numPr>
        <w:ind w:left="851" w:firstLine="0"/>
        <w:jc w:val="both"/>
        <w:rPr>
          <w:rFonts w:eastAsia="Arial Unicode MS" w:cs="Arial"/>
          <w:spacing w:val="-3"/>
          <w:sz w:val="20"/>
          <w:szCs w:val="20"/>
        </w:rPr>
      </w:pPr>
      <w:r w:rsidRPr="00B133DC">
        <w:rPr>
          <w:rFonts w:eastAsia="Arial Unicode MS" w:cs="Arial"/>
          <w:spacing w:val="-3"/>
          <w:sz w:val="20"/>
          <w:szCs w:val="20"/>
        </w:rPr>
        <w:t>11</w:t>
      </w:r>
      <w:r w:rsidR="008D6098" w:rsidRPr="00B133DC">
        <w:rPr>
          <w:rFonts w:eastAsia="Arial Unicode MS" w:cs="Arial"/>
          <w:spacing w:val="-3"/>
          <w:sz w:val="20"/>
          <w:szCs w:val="20"/>
        </w:rPr>
        <w:t xml:space="preserve"> es el código asignado a la </w:t>
      </w:r>
      <w:r w:rsidR="00DD2672" w:rsidRPr="00B133DC">
        <w:rPr>
          <w:rFonts w:eastAsia="Arial Unicode MS" w:cs="Arial"/>
          <w:spacing w:val="-3"/>
          <w:sz w:val="20"/>
          <w:szCs w:val="20"/>
        </w:rPr>
        <w:t>Mutualidad</w:t>
      </w:r>
      <w:r w:rsidR="008D6098" w:rsidRPr="00B133DC">
        <w:rPr>
          <w:rFonts w:eastAsia="Arial Unicode MS" w:cs="Arial"/>
          <w:spacing w:val="-3"/>
          <w:sz w:val="20"/>
          <w:szCs w:val="20"/>
        </w:rPr>
        <w:t>.</w:t>
      </w:r>
    </w:p>
    <w:p w:rsidR="008D6098" w:rsidRPr="00B133DC" w:rsidRDefault="00DD2672" w:rsidP="008D6098">
      <w:pPr>
        <w:pStyle w:val="Prrafodelista"/>
        <w:numPr>
          <w:ilvl w:val="0"/>
          <w:numId w:val="16"/>
        </w:numPr>
        <w:ind w:left="851" w:firstLine="0"/>
        <w:jc w:val="both"/>
        <w:rPr>
          <w:rFonts w:eastAsia="Arial Unicode MS" w:cs="Arial"/>
          <w:spacing w:val="-3"/>
          <w:sz w:val="20"/>
          <w:szCs w:val="20"/>
        </w:rPr>
      </w:pPr>
      <w:r w:rsidRPr="00B133DC">
        <w:rPr>
          <w:rFonts w:eastAsia="Arial Unicode MS" w:cs="Arial"/>
          <w:spacing w:val="-3"/>
          <w:sz w:val="20"/>
          <w:szCs w:val="20"/>
        </w:rPr>
        <w:t>PREVISIONAL</w:t>
      </w:r>
      <w:r w:rsidR="008D6098" w:rsidRPr="00B133DC">
        <w:rPr>
          <w:rFonts w:eastAsia="Arial Unicode MS" w:cs="Arial"/>
          <w:spacing w:val="-3"/>
          <w:sz w:val="20"/>
          <w:szCs w:val="20"/>
        </w:rPr>
        <w:t xml:space="preserve"> es el nombre del archivo.</w:t>
      </w:r>
    </w:p>
    <w:p w:rsidR="008D6098" w:rsidRPr="00B133DC" w:rsidRDefault="008D6098" w:rsidP="008D6098">
      <w:pPr>
        <w:pStyle w:val="Prrafodelista"/>
        <w:numPr>
          <w:ilvl w:val="0"/>
          <w:numId w:val="16"/>
        </w:numPr>
        <w:ind w:left="851" w:firstLine="0"/>
        <w:jc w:val="both"/>
        <w:rPr>
          <w:rFonts w:eastAsia="Arial Unicode MS" w:cs="Arial"/>
          <w:spacing w:val="-3"/>
          <w:sz w:val="20"/>
          <w:szCs w:val="20"/>
        </w:rPr>
      </w:pPr>
      <w:r w:rsidRPr="00B133DC">
        <w:rPr>
          <w:rFonts w:eastAsia="Arial Unicode MS" w:cs="Arial"/>
          <w:spacing w:val="-3"/>
          <w:sz w:val="20"/>
          <w:szCs w:val="20"/>
        </w:rPr>
        <w:t>201</w:t>
      </w:r>
      <w:r w:rsidR="00DD2672" w:rsidRPr="00B133DC">
        <w:rPr>
          <w:rFonts w:eastAsia="Arial Unicode MS" w:cs="Arial"/>
          <w:spacing w:val="-3"/>
          <w:sz w:val="20"/>
          <w:szCs w:val="20"/>
        </w:rPr>
        <w:t>7</w:t>
      </w:r>
      <w:r w:rsidRPr="00B133DC">
        <w:rPr>
          <w:rFonts w:eastAsia="Arial Unicode MS" w:cs="Arial"/>
          <w:spacing w:val="-3"/>
          <w:sz w:val="20"/>
          <w:szCs w:val="20"/>
        </w:rPr>
        <w:t>06 es el año y mes al que se refiere la información reportada.</w:t>
      </w:r>
    </w:p>
    <w:p w:rsidR="008D6098" w:rsidRDefault="008D6098" w:rsidP="008D6098">
      <w:pPr>
        <w:pStyle w:val="Prrafodelista"/>
        <w:ind w:left="851"/>
        <w:rPr>
          <w:rFonts w:eastAsia="Arial Unicode MS" w:cs="Arial"/>
          <w:spacing w:val="-3"/>
          <w:sz w:val="20"/>
          <w:szCs w:val="20"/>
        </w:rPr>
      </w:pPr>
    </w:p>
    <w:p w:rsidR="00DF5D65" w:rsidRPr="00B133DC" w:rsidRDefault="00DF5D65" w:rsidP="008D6098">
      <w:pPr>
        <w:pStyle w:val="Prrafodelista"/>
        <w:ind w:left="851"/>
        <w:rPr>
          <w:rFonts w:eastAsia="Arial Unicode MS" w:cs="Arial"/>
          <w:spacing w:val="-3"/>
          <w:sz w:val="20"/>
          <w:szCs w:val="20"/>
        </w:rPr>
      </w:pPr>
    </w:p>
    <w:p w:rsidR="008D6098" w:rsidRPr="00B133DC" w:rsidRDefault="008D6098" w:rsidP="008D6098">
      <w:pPr>
        <w:pStyle w:val="Prrafodelista"/>
        <w:numPr>
          <w:ilvl w:val="1"/>
          <w:numId w:val="15"/>
        </w:numPr>
        <w:ind w:left="426" w:hanging="426"/>
        <w:jc w:val="both"/>
        <w:rPr>
          <w:rFonts w:eastAsia="Arial Unicode MS" w:cs="Arial"/>
          <w:b/>
          <w:spacing w:val="-3"/>
          <w:sz w:val="20"/>
          <w:szCs w:val="20"/>
        </w:rPr>
      </w:pPr>
      <w:r w:rsidRPr="00B133DC">
        <w:rPr>
          <w:rFonts w:eastAsia="Arial Unicode MS" w:cs="Arial"/>
          <w:b/>
          <w:spacing w:val="-3"/>
          <w:sz w:val="20"/>
          <w:szCs w:val="20"/>
        </w:rPr>
        <w:t xml:space="preserve">Codificación de las </w:t>
      </w:r>
      <w:r w:rsidR="00DD2672" w:rsidRPr="00B133DC">
        <w:rPr>
          <w:rFonts w:eastAsia="Arial Unicode MS" w:cs="Arial"/>
          <w:b/>
          <w:spacing w:val="-3"/>
          <w:sz w:val="20"/>
          <w:szCs w:val="20"/>
        </w:rPr>
        <w:t>Mutualidades</w:t>
      </w:r>
      <w:r w:rsidRPr="00B133DC">
        <w:rPr>
          <w:rFonts w:eastAsia="Arial Unicode MS" w:cs="Arial"/>
          <w:b/>
          <w:spacing w:val="-3"/>
          <w:sz w:val="20"/>
          <w:szCs w:val="20"/>
        </w:rPr>
        <w:t>.</w:t>
      </w:r>
    </w:p>
    <w:p w:rsidR="008D6098" w:rsidRPr="00B133DC" w:rsidRDefault="008D6098" w:rsidP="008D6098">
      <w:pPr>
        <w:ind w:left="792"/>
        <w:rPr>
          <w:rFonts w:eastAsia="Arial Unicode MS" w:cs="Arial"/>
          <w:b/>
          <w:spacing w:val="-3"/>
          <w:sz w:val="20"/>
          <w:szCs w:val="20"/>
        </w:rPr>
      </w:pPr>
    </w:p>
    <w:p w:rsidR="008D6098" w:rsidRPr="00B133DC" w:rsidRDefault="008D6098" w:rsidP="008D6098">
      <w:pPr>
        <w:ind w:left="426"/>
        <w:rPr>
          <w:rFonts w:eastAsia="Arial Unicode MS" w:cs="Arial"/>
          <w:spacing w:val="-3"/>
          <w:sz w:val="20"/>
          <w:szCs w:val="20"/>
        </w:rPr>
      </w:pPr>
      <w:r w:rsidRPr="00B133DC">
        <w:rPr>
          <w:rFonts w:eastAsia="Arial Unicode MS" w:cs="Arial"/>
          <w:spacing w:val="-3"/>
          <w:sz w:val="20"/>
          <w:szCs w:val="20"/>
        </w:rPr>
        <w:t xml:space="preserve">En la siguiente tabla se detallan los códigos asociados a cada </w:t>
      </w:r>
      <w:r w:rsidR="000D548B">
        <w:rPr>
          <w:rFonts w:eastAsia="Arial Unicode MS" w:cs="Arial"/>
          <w:spacing w:val="-3"/>
          <w:sz w:val="20"/>
          <w:szCs w:val="20"/>
        </w:rPr>
        <w:t>Mutualidad</w:t>
      </w:r>
      <w:r w:rsidRPr="00B133DC">
        <w:rPr>
          <w:rFonts w:eastAsia="Arial Unicode MS" w:cs="Arial"/>
          <w:spacing w:val="-3"/>
          <w:sz w:val="20"/>
          <w:szCs w:val="20"/>
        </w:rPr>
        <w:t>.</w:t>
      </w:r>
    </w:p>
    <w:p w:rsidR="008D6098" w:rsidRPr="00B133DC" w:rsidRDefault="008D6098" w:rsidP="008D6098">
      <w:pPr>
        <w:ind w:left="360"/>
        <w:rPr>
          <w:rFonts w:eastAsia="Arial Unicode MS" w:cs="Arial"/>
          <w:b/>
          <w:spacing w:val="-3"/>
          <w:sz w:val="20"/>
          <w:szCs w:val="20"/>
        </w:rPr>
      </w:pPr>
    </w:p>
    <w:tbl>
      <w:tblPr>
        <w:tblW w:w="3362" w:type="pct"/>
        <w:jc w:val="center"/>
        <w:tblLayout w:type="fixed"/>
        <w:tblCellMar>
          <w:left w:w="70" w:type="dxa"/>
          <w:right w:w="70" w:type="dxa"/>
        </w:tblCellMar>
        <w:tblLook w:val="04A0" w:firstRow="1" w:lastRow="0" w:firstColumn="1" w:lastColumn="0" w:noHBand="0" w:noVBand="1"/>
      </w:tblPr>
      <w:tblGrid>
        <w:gridCol w:w="1448"/>
        <w:gridCol w:w="4589"/>
      </w:tblGrid>
      <w:tr w:rsidR="008D6098" w:rsidRPr="00B133DC" w:rsidTr="00B133DC">
        <w:trPr>
          <w:trHeight w:val="255"/>
          <w:jc w:val="center"/>
        </w:trPr>
        <w:tc>
          <w:tcPr>
            <w:tcW w:w="1199" w:type="pct"/>
            <w:tcBorders>
              <w:top w:val="single" w:sz="4" w:space="0" w:color="000000"/>
              <w:left w:val="single" w:sz="4" w:space="0" w:color="000000"/>
              <w:bottom w:val="single" w:sz="4" w:space="0" w:color="000000"/>
              <w:right w:val="single" w:sz="4" w:space="0" w:color="000000"/>
            </w:tcBorders>
            <w:shd w:val="clear" w:color="CCCCFF" w:fill="CCCCCC"/>
            <w:noWrap/>
            <w:vAlign w:val="bottom"/>
            <w:hideMark/>
          </w:tcPr>
          <w:p w:rsidR="008D6098" w:rsidRPr="00B133DC" w:rsidRDefault="008D6098" w:rsidP="00E32549">
            <w:pPr>
              <w:jc w:val="center"/>
              <w:rPr>
                <w:rFonts w:cs="Arial"/>
                <w:b/>
                <w:bCs/>
                <w:sz w:val="20"/>
                <w:szCs w:val="20"/>
              </w:rPr>
            </w:pPr>
            <w:r w:rsidRPr="00B133DC">
              <w:rPr>
                <w:rFonts w:cs="Arial"/>
                <w:b/>
                <w:bCs/>
                <w:sz w:val="20"/>
                <w:szCs w:val="20"/>
              </w:rPr>
              <w:t>CÓDIGO</w:t>
            </w:r>
          </w:p>
        </w:tc>
        <w:tc>
          <w:tcPr>
            <w:tcW w:w="3801" w:type="pct"/>
            <w:tcBorders>
              <w:top w:val="single" w:sz="4" w:space="0" w:color="000000"/>
              <w:left w:val="nil"/>
              <w:bottom w:val="single" w:sz="4" w:space="0" w:color="000000"/>
              <w:right w:val="single" w:sz="4" w:space="0" w:color="000000"/>
            </w:tcBorders>
            <w:shd w:val="clear" w:color="CCCCFF" w:fill="CCCCCC"/>
            <w:noWrap/>
            <w:vAlign w:val="bottom"/>
            <w:hideMark/>
          </w:tcPr>
          <w:p w:rsidR="008D6098" w:rsidRPr="00B133DC" w:rsidRDefault="00B133DC" w:rsidP="00E32549">
            <w:pPr>
              <w:jc w:val="center"/>
              <w:rPr>
                <w:rFonts w:cs="Arial"/>
                <w:b/>
                <w:sz w:val="20"/>
                <w:szCs w:val="20"/>
              </w:rPr>
            </w:pPr>
            <w:r>
              <w:rPr>
                <w:rFonts w:cs="Arial"/>
                <w:b/>
                <w:sz w:val="20"/>
                <w:szCs w:val="20"/>
              </w:rPr>
              <w:t>MUTUALIDAD</w:t>
            </w:r>
          </w:p>
        </w:tc>
      </w:tr>
      <w:tr w:rsidR="00B133DC" w:rsidRPr="00B133DC" w:rsidTr="00B133DC">
        <w:trPr>
          <w:trHeight w:val="255"/>
          <w:jc w:val="center"/>
        </w:trPr>
        <w:tc>
          <w:tcPr>
            <w:tcW w:w="1199" w:type="pct"/>
            <w:tcBorders>
              <w:top w:val="nil"/>
              <w:left w:val="single" w:sz="4" w:space="0" w:color="000000"/>
              <w:bottom w:val="single" w:sz="4" w:space="0" w:color="auto"/>
              <w:right w:val="single" w:sz="4" w:space="0" w:color="000000"/>
            </w:tcBorders>
            <w:shd w:val="clear" w:color="auto" w:fill="auto"/>
            <w:noWrap/>
            <w:vAlign w:val="center"/>
            <w:hideMark/>
          </w:tcPr>
          <w:p w:rsidR="00B133DC" w:rsidRPr="00B133DC" w:rsidRDefault="00B133DC" w:rsidP="00B133DC">
            <w:pPr>
              <w:jc w:val="center"/>
              <w:rPr>
                <w:rFonts w:cs="Arial"/>
                <w:color w:val="000000"/>
                <w:sz w:val="20"/>
                <w:szCs w:val="20"/>
              </w:rPr>
            </w:pPr>
            <w:r w:rsidRPr="00B133DC">
              <w:rPr>
                <w:rFonts w:cs="Arial"/>
                <w:color w:val="000000"/>
                <w:sz w:val="20"/>
                <w:szCs w:val="20"/>
              </w:rPr>
              <w:t>11</w:t>
            </w:r>
          </w:p>
        </w:tc>
        <w:tc>
          <w:tcPr>
            <w:tcW w:w="3801" w:type="pct"/>
            <w:tcBorders>
              <w:top w:val="nil"/>
              <w:left w:val="nil"/>
              <w:bottom w:val="single" w:sz="4" w:space="0" w:color="auto"/>
              <w:right w:val="single" w:sz="4" w:space="0" w:color="000000"/>
            </w:tcBorders>
            <w:shd w:val="clear" w:color="auto" w:fill="auto"/>
            <w:noWrap/>
            <w:vAlign w:val="center"/>
            <w:hideMark/>
          </w:tcPr>
          <w:p w:rsidR="00B133DC" w:rsidRPr="00B133DC" w:rsidRDefault="00A905EB" w:rsidP="00B133DC">
            <w:pPr>
              <w:rPr>
                <w:rFonts w:cs="Arial"/>
                <w:color w:val="000000"/>
                <w:sz w:val="20"/>
                <w:szCs w:val="20"/>
              </w:rPr>
            </w:pPr>
            <w:r>
              <w:rPr>
                <w:rFonts w:cs="Arial"/>
                <w:color w:val="000000"/>
                <w:sz w:val="20"/>
                <w:szCs w:val="20"/>
              </w:rPr>
              <w:t>Asociación Chilena d</w:t>
            </w:r>
            <w:r w:rsidRPr="00B133DC">
              <w:rPr>
                <w:rFonts w:cs="Arial"/>
                <w:color w:val="000000"/>
                <w:sz w:val="20"/>
                <w:szCs w:val="20"/>
              </w:rPr>
              <w:t>e Seguridad</w:t>
            </w:r>
          </w:p>
        </w:tc>
      </w:tr>
      <w:tr w:rsidR="00B133DC" w:rsidRPr="00B133DC" w:rsidTr="00B133DC">
        <w:trPr>
          <w:trHeight w:val="255"/>
          <w:jc w:val="center"/>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DC" w:rsidRPr="00B133DC" w:rsidRDefault="00B133DC" w:rsidP="00B133DC">
            <w:pPr>
              <w:jc w:val="center"/>
              <w:rPr>
                <w:rFonts w:cs="Arial"/>
                <w:color w:val="000000"/>
                <w:sz w:val="20"/>
                <w:szCs w:val="20"/>
              </w:rPr>
            </w:pPr>
            <w:r w:rsidRPr="00B133DC">
              <w:rPr>
                <w:rFonts w:cs="Arial"/>
                <w:color w:val="000000"/>
                <w:sz w:val="20"/>
                <w:szCs w:val="20"/>
              </w:rPr>
              <w:t>12</w:t>
            </w:r>
          </w:p>
        </w:tc>
        <w:tc>
          <w:tcPr>
            <w:tcW w:w="38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DC" w:rsidRPr="00B133DC" w:rsidRDefault="00A905EB" w:rsidP="00B133DC">
            <w:pPr>
              <w:rPr>
                <w:rFonts w:cs="Arial"/>
                <w:color w:val="000000"/>
                <w:sz w:val="20"/>
                <w:szCs w:val="20"/>
              </w:rPr>
            </w:pPr>
            <w:r>
              <w:rPr>
                <w:rFonts w:cs="Arial"/>
                <w:color w:val="000000"/>
                <w:sz w:val="20"/>
                <w:szCs w:val="20"/>
              </w:rPr>
              <w:t>Instituto d</w:t>
            </w:r>
            <w:r w:rsidRPr="00B133DC">
              <w:rPr>
                <w:rFonts w:cs="Arial"/>
                <w:color w:val="000000"/>
                <w:sz w:val="20"/>
                <w:szCs w:val="20"/>
              </w:rPr>
              <w:t>e Segur</w:t>
            </w:r>
            <w:r>
              <w:rPr>
                <w:rFonts w:cs="Arial"/>
                <w:color w:val="000000"/>
                <w:sz w:val="20"/>
                <w:szCs w:val="20"/>
              </w:rPr>
              <w:t>idad d</w:t>
            </w:r>
            <w:r w:rsidRPr="00B133DC">
              <w:rPr>
                <w:rFonts w:cs="Arial"/>
                <w:color w:val="000000"/>
                <w:sz w:val="20"/>
                <w:szCs w:val="20"/>
              </w:rPr>
              <w:t>el Trabajo</w:t>
            </w:r>
          </w:p>
        </w:tc>
      </w:tr>
      <w:tr w:rsidR="00B133DC" w:rsidRPr="00B133DC" w:rsidTr="00B133DC">
        <w:trPr>
          <w:trHeight w:val="255"/>
          <w:jc w:val="center"/>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DC" w:rsidRPr="00B133DC" w:rsidRDefault="00B133DC" w:rsidP="00B133DC">
            <w:pPr>
              <w:jc w:val="center"/>
              <w:rPr>
                <w:rFonts w:cs="Arial"/>
                <w:color w:val="000000"/>
                <w:sz w:val="20"/>
                <w:szCs w:val="20"/>
              </w:rPr>
            </w:pPr>
            <w:r w:rsidRPr="00B133DC">
              <w:rPr>
                <w:rFonts w:cs="Arial"/>
                <w:color w:val="000000"/>
                <w:sz w:val="20"/>
                <w:szCs w:val="20"/>
              </w:rPr>
              <w:t>13</w:t>
            </w:r>
          </w:p>
        </w:tc>
        <w:tc>
          <w:tcPr>
            <w:tcW w:w="38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DC" w:rsidRPr="00B133DC" w:rsidRDefault="00A905EB" w:rsidP="00B133DC">
            <w:pPr>
              <w:rPr>
                <w:rFonts w:cs="Arial"/>
                <w:color w:val="000000"/>
                <w:sz w:val="20"/>
                <w:szCs w:val="20"/>
              </w:rPr>
            </w:pPr>
            <w:r>
              <w:rPr>
                <w:rFonts w:cs="Arial"/>
                <w:color w:val="000000"/>
                <w:sz w:val="20"/>
                <w:szCs w:val="20"/>
              </w:rPr>
              <w:t>Mutual de Seguridad de la Cámara Chilena de l</w:t>
            </w:r>
            <w:r w:rsidRPr="00B133DC">
              <w:rPr>
                <w:rFonts w:cs="Arial"/>
                <w:color w:val="000000"/>
                <w:sz w:val="20"/>
                <w:szCs w:val="20"/>
              </w:rPr>
              <w:t>a Construcción</w:t>
            </w:r>
          </w:p>
        </w:tc>
      </w:tr>
    </w:tbl>
    <w:p w:rsidR="00B133DC" w:rsidRDefault="00B133DC" w:rsidP="008D6098">
      <w:pPr>
        <w:pStyle w:val="Prrafodelista"/>
        <w:ind w:left="426"/>
        <w:rPr>
          <w:rFonts w:eastAsia="Arial Unicode MS" w:cs="Arial"/>
          <w:b/>
          <w:spacing w:val="-3"/>
          <w:sz w:val="20"/>
          <w:szCs w:val="20"/>
        </w:rPr>
      </w:pPr>
    </w:p>
    <w:p w:rsidR="00DF5D65" w:rsidRPr="00B133DC" w:rsidRDefault="00DF5D65" w:rsidP="008D6098">
      <w:pPr>
        <w:pStyle w:val="Prrafodelista"/>
        <w:ind w:left="426"/>
        <w:rPr>
          <w:rFonts w:eastAsia="Arial Unicode MS" w:cs="Arial"/>
          <w:b/>
          <w:spacing w:val="-3"/>
          <w:sz w:val="20"/>
          <w:szCs w:val="20"/>
        </w:rPr>
      </w:pPr>
    </w:p>
    <w:p w:rsidR="008D6098" w:rsidRPr="00B133DC" w:rsidRDefault="00B133DC" w:rsidP="008D6098">
      <w:pPr>
        <w:pStyle w:val="Prrafodelista"/>
        <w:numPr>
          <w:ilvl w:val="1"/>
          <w:numId w:val="15"/>
        </w:numPr>
        <w:ind w:left="426" w:hanging="426"/>
        <w:jc w:val="both"/>
        <w:rPr>
          <w:rFonts w:eastAsia="Arial Unicode MS" w:cs="Arial"/>
          <w:b/>
          <w:spacing w:val="-3"/>
          <w:sz w:val="20"/>
          <w:szCs w:val="20"/>
        </w:rPr>
      </w:pPr>
      <w:r>
        <w:rPr>
          <w:rFonts w:eastAsia="Arial Unicode MS" w:cs="Arial"/>
          <w:b/>
          <w:spacing w:val="-3"/>
          <w:sz w:val="20"/>
          <w:szCs w:val="20"/>
        </w:rPr>
        <w:t>Formato de Campos</w:t>
      </w:r>
    </w:p>
    <w:p w:rsidR="008D6098" w:rsidRPr="00B133DC" w:rsidRDefault="008D6098" w:rsidP="008D6098">
      <w:pPr>
        <w:ind w:left="360"/>
        <w:rPr>
          <w:rFonts w:eastAsia="Arial Unicode MS" w:cs="Arial"/>
          <w:b/>
          <w:spacing w:val="-3"/>
          <w:sz w:val="20"/>
          <w:szCs w:val="20"/>
        </w:rPr>
      </w:pPr>
    </w:p>
    <w:p w:rsidR="008D6098" w:rsidRPr="00B133DC" w:rsidRDefault="008D6098" w:rsidP="00B133DC">
      <w:pPr>
        <w:ind w:left="426"/>
        <w:jc w:val="both"/>
        <w:rPr>
          <w:rFonts w:eastAsiaTheme="minorHAnsi" w:cs="Arial"/>
          <w:sz w:val="20"/>
          <w:szCs w:val="20"/>
        </w:rPr>
      </w:pPr>
      <w:r w:rsidRPr="00B133DC">
        <w:rPr>
          <w:rFonts w:eastAsiaTheme="minorHAnsi" w:cs="Arial"/>
          <w:sz w:val="20"/>
          <w:szCs w:val="20"/>
        </w:rPr>
        <w:t>Los archivos planos reportados no deberán llevar cabecera (nombre de los campos en la primera fila del archivo).</w:t>
      </w:r>
    </w:p>
    <w:p w:rsidR="008D6098" w:rsidRPr="00B133DC" w:rsidRDefault="008D6098" w:rsidP="00B133DC">
      <w:pPr>
        <w:ind w:left="426"/>
        <w:jc w:val="both"/>
        <w:rPr>
          <w:rFonts w:eastAsiaTheme="minorHAnsi" w:cs="Arial"/>
          <w:sz w:val="20"/>
          <w:szCs w:val="20"/>
        </w:rPr>
      </w:pPr>
    </w:p>
    <w:p w:rsidR="008D6098" w:rsidRPr="00B133DC" w:rsidRDefault="008D6098" w:rsidP="00B133DC">
      <w:pPr>
        <w:ind w:left="426"/>
        <w:jc w:val="both"/>
        <w:rPr>
          <w:rFonts w:eastAsiaTheme="minorHAnsi" w:cs="Arial"/>
          <w:sz w:val="20"/>
          <w:szCs w:val="20"/>
        </w:rPr>
      </w:pPr>
      <w:r w:rsidRPr="00B133DC">
        <w:rPr>
          <w:rFonts w:eastAsiaTheme="minorHAnsi" w:cs="Arial"/>
          <w:sz w:val="20"/>
          <w:szCs w:val="20"/>
        </w:rPr>
        <w:t xml:space="preserve">Para todos los archivos especificados, el </w:t>
      </w:r>
      <w:proofErr w:type="spellStart"/>
      <w:r w:rsidRPr="00B133DC">
        <w:rPr>
          <w:rFonts w:eastAsiaTheme="minorHAnsi" w:cs="Arial"/>
          <w:sz w:val="20"/>
          <w:szCs w:val="20"/>
        </w:rPr>
        <w:t>caracter</w:t>
      </w:r>
      <w:proofErr w:type="spellEnd"/>
      <w:r w:rsidRPr="00B133DC">
        <w:rPr>
          <w:rFonts w:eastAsiaTheme="minorHAnsi" w:cs="Arial"/>
          <w:sz w:val="20"/>
          <w:szCs w:val="20"/>
        </w:rPr>
        <w:t xml:space="preserve"> a utilizar como separador de campos será “|” (pipe).</w:t>
      </w:r>
    </w:p>
    <w:p w:rsidR="008D6098" w:rsidRPr="00B133DC" w:rsidRDefault="008D6098" w:rsidP="00B133DC">
      <w:pPr>
        <w:ind w:left="426"/>
        <w:jc w:val="both"/>
        <w:rPr>
          <w:rFonts w:eastAsiaTheme="minorHAnsi" w:cs="Arial"/>
          <w:sz w:val="20"/>
          <w:szCs w:val="20"/>
        </w:rPr>
      </w:pPr>
    </w:p>
    <w:p w:rsidR="008D6098" w:rsidRPr="00B133DC" w:rsidRDefault="008D6098" w:rsidP="00B133DC">
      <w:pPr>
        <w:ind w:left="426"/>
        <w:jc w:val="both"/>
        <w:rPr>
          <w:rFonts w:eastAsiaTheme="minorHAnsi" w:cs="Arial"/>
          <w:sz w:val="20"/>
          <w:szCs w:val="20"/>
        </w:rPr>
      </w:pPr>
      <w:r w:rsidRPr="00B133DC">
        <w:rPr>
          <w:rFonts w:eastAsiaTheme="minorHAnsi" w:cs="Arial"/>
          <w:sz w:val="20"/>
          <w:szCs w:val="20"/>
        </w:rPr>
        <w:t>En el caso de los campos alfanuméricos, éstos deberán estar alineados a la izquierda y no deberán ser completados con espacios a la derecha, si su contenido de información es menor que el largo especificado para el campo.</w:t>
      </w:r>
    </w:p>
    <w:p w:rsidR="008D6098" w:rsidRPr="00B133DC" w:rsidRDefault="008D6098" w:rsidP="00B133DC">
      <w:pPr>
        <w:ind w:left="426"/>
        <w:jc w:val="both"/>
        <w:rPr>
          <w:rFonts w:eastAsiaTheme="minorHAnsi" w:cs="Arial"/>
          <w:sz w:val="20"/>
          <w:szCs w:val="20"/>
        </w:rPr>
      </w:pPr>
    </w:p>
    <w:p w:rsidR="00B52D97" w:rsidRDefault="008D6098" w:rsidP="00B52D97">
      <w:pPr>
        <w:ind w:left="426"/>
        <w:jc w:val="both"/>
        <w:rPr>
          <w:rFonts w:cs="Arial"/>
          <w:sz w:val="20"/>
          <w:szCs w:val="20"/>
        </w:rPr>
      </w:pPr>
      <w:r w:rsidRPr="00B133DC">
        <w:rPr>
          <w:rFonts w:eastAsiaTheme="minorHAnsi" w:cs="Arial"/>
          <w:sz w:val="20"/>
          <w:szCs w:val="20"/>
        </w:rPr>
        <w:t>Los campos numéricos enteros deberán estar alineados a la derecha y no deberán ser completados con ceros a la izquierda, si su contenido de información es menor que el largo especificado para el campo. No obstante, ninguno de estos campos pueden ser reportados vacíos, por lo tanto, en caso de no registrar valor se debe asignar “0” (cero).</w:t>
      </w:r>
    </w:p>
    <w:p w:rsidR="00B133DC" w:rsidRDefault="00B133DC">
      <w:pPr>
        <w:spacing w:after="200" w:line="276" w:lineRule="auto"/>
        <w:rPr>
          <w:rFonts w:cs="Arial"/>
          <w:sz w:val="20"/>
          <w:szCs w:val="20"/>
        </w:rPr>
      </w:pPr>
      <w:r>
        <w:rPr>
          <w:rFonts w:cs="Arial"/>
          <w:sz w:val="20"/>
          <w:szCs w:val="20"/>
        </w:rPr>
        <w:br w:type="page"/>
      </w:r>
    </w:p>
    <w:p w:rsidR="008D6098" w:rsidRPr="00B133DC" w:rsidRDefault="008D6098" w:rsidP="008D6098">
      <w:pPr>
        <w:widowControl w:val="0"/>
        <w:spacing w:before="166" w:line="322" w:lineRule="exact"/>
        <w:jc w:val="center"/>
        <w:rPr>
          <w:rFonts w:eastAsia="Arial Unicode MS" w:cs="Arial"/>
          <w:b/>
          <w:spacing w:val="-4"/>
          <w:sz w:val="20"/>
          <w:szCs w:val="20"/>
        </w:rPr>
      </w:pPr>
      <w:r w:rsidRPr="00B133DC">
        <w:rPr>
          <w:rFonts w:eastAsia="Arial Unicode MS" w:cs="Arial"/>
          <w:b/>
          <w:spacing w:val="-4"/>
          <w:sz w:val="20"/>
          <w:szCs w:val="20"/>
        </w:rPr>
        <w:t>ANEXO 2</w:t>
      </w:r>
    </w:p>
    <w:p w:rsidR="008D6098" w:rsidRPr="00B133DC" w:rsidRDefault="008D6098" w:rsidP="008D6098">
      <w:pPr>
        <w:widowControl w:val="0"/>
        <w:spacing w:before="276" w:line="276" w:lineRule="exact"/>
        <w:jc w:val="center"/>
        <w:rPr>
          <w:rFonts w:eastAsia="Arial Unicode MS" w:cs="Arial"/>
          <w:b/>
          <w:spacing w:val="-1"/>
          <w:sz w:val="20"/>
          <w:szCs w:val="20"/>
        </w:rPr>
      </w:pPr>
      <w:r w:rsidRPr="00B133DC">
        <w:rPr>
          <w:rFonts w:eastAsia="Arial Unicode MS" w:cs="Arial"/>
          <w:b/>
          <w:spacing w:val="-1"/>
          <w:sz w:val="20"/>
          <w:szCs w:val="20"/>
        </w:rPr>
        <w:t>FORMATO DE ARCHIVOS PLANOS</w:t>
      </w:r>
    </w:p>
    <w:p w:rsidR="008D6098" w:rsidRPr="00B133DC" w:rsidRDefault="008D6098" w:rsidP="008D6098">
      <w:pPr>
        <w:widowControl w:val="0"/>
        <w:spacing w:line="276" w:lineRule="exact"/>
        <w:ind w:left="1701"/>
        <w:jc w:val="center"/>
        <w:rPr>
          <w:rFonts w:eastAsia="Arial Unicode MS" w:cs="Arial"/>
          <w:b/>
          <w:spacing w:val="-1"/>
          <w:sz w:val="20"/>
          <w:szCs w:val="20"/>
        </w:rPr>
      </w:pPr>
    </w:p>
    <w:p w:rsidR="008D6098" w:rsidRPr="00B133DC" w:rsidRDefault="008D6098" w:rsidP="0084028B">
      <w:pPr>
        <w:pStyle w:val="Prrafodelista"/>
        <w:widowControl w:val="0"/>
        <w:autoSpaceDE w:val="0"/>
        <w:autoSpaceDN w:val="0"/>
        <w:adjustRightInd w:val="0"/>
        <w:spacing w:before="8" w:line="276" w:lineRule="exact"/>
        <w:ind w:left="284"/>
        <w:rPr>
          <w:rFonts w:eastAsia="Arial Unicode MS" w:cs="Arial"/>
          <w:b/>
          <w:w w:val="105"/>
          <w:sz w:val="20"/>
          <w:szCs w:val="20"/>
        </w:rPr>
      </w:pPr>
      <w:r w:rsidRPr="00B133DC">
        <w:rPr>
          <w:rFonts w:eastAsia="Arial Unicode MS" w:cs="Arial"/>
          <w:b/>
          <w:w w:val="105"/>
          <w:sz w:val="20"/>
          <w:szCs w:val="20"/>
        </w:rPr>
        <w:t>Definición de Archivos.</w:t>
      </w:r>
    </w:p>
    <w:p w:rsidR="008D6098" w:rsidRDefault="008D6098" w:rsidP="008D6098">
      <w:pPr>
        <w:pStyle w:val="Prrafodelista"/>
        <w:widowControl w:val="0"/>
        <w:spacing w:before="8" w:line="276" w:lineRule="exact"/>
        <w:ind w:left="284"/>
        <w:rPr>
          <w:rFonts w:eastAsia="Arial Unicode MS" w:cs="Arial"/>
          <w:b/>
          <w:w w:val="105"/>
          <w:sz w:val="20"/>
          <w:szCs w:val="20"/>
        </w:rPr>
      </w:pPr>
    </w:p>
    <w:p w:rsidR="00B133DC" w:rsidRPr="00B133DC" w:rsidRDefault="00B133DC" w:rsidP="008D6098">
      <w:pPr>
        <w:pStyle w:val="Prrafodelista"/>
        <w:widowControl w:val="0"/>
        <w:spacing w:before="8" w:line="276" w:lineRule="exact"/>
        <w:ind w:left="284"/>
        <w:rPr>
          <w:rFonts w:eastAsia="Arial Unicode MS" w:cs="Arial"/>
          <w:w w:val="105"/>
          <w:sz w:val="20"/>
          <w:szCs w:val="20"/>
        </w:rPr>
      </w:pPr>
      <w:r>
        <w:rPr>
          <w:rFonts w:eastAsia="Arial Unicode MS" w:cs="Arial"/>
          <w:w w:val="105"/>
          <w:sz w:val="20"/>
          <w:szCs w:val="20"/>
        </w:rPr>
        <w:t>Los campos que deben remitir las Mutualidades se deben ajustar al siguiente formato:</w:t>
      </w:r>
    </w:p>
    <w:p w:rsidR="008D6098" w:rsidRPr="00B133DC" w:rsidRDefault="008D6098" w:rsidP="008D6098">
      <w:pPr>
        <w:pStyle w:val="Prrafodelista"/>
        <w:widowControl w:val="0"/>
        <w:spacing w:line="276" w:lineRule="exact"/>
        <w:ind w:left="284"/>
        <w:rPr>
          <w:rFonts w:eastAsia="Arial Unicode MS" w:cs="Arial"/>
          <w:b/>
          <w:w w:val="105"/>
          <w:sz w:val="20"/>
          <w:szCs w:val="20"/>
        </w:rPr>
      </w:pPr>
    </w:p>
    <w:tbl>
      <w:tblPr>
        <w:tblW w:w="8879" w:type="dxa"/>
        <w:jc w:val="center"/>
        <w:tblCellMar>
          <w:left w:w="0" w:type="dxa"/>
          <w:right w:w="0" w:type="dxa"/>
        </w:tblCellMar>
        <w:tblLook w:val="0000" w:firstRow="0" w:lastRow="0" w:firstColumn="0" w:lastColumn="0" w:noHBand="0" w:noVBand="0"/>
      </w:tblPr>
      <w:tblGrid>
        <w:gridCol w:w="2533"/>
        <w:gridCol w:w="4663"/>
        <w:gridCol w:w="1683"/>
      </w:tblGrid>
      <w:tr w:rsidR="008D6098" w:rsidRPr="00B133DC" w:rsidTr="00E32549">
        <w:trPr>
          <w:trHeight w:val="255"/>
          <w:jc w:val="center"/>
        </w:trPr>
        <w:tc>
          <w:tcPr>
            <w:tcW w:w="2533" w:type="dxa"/>
            <w:tcBorders>
              <w:top w:val="single" w:sz="4" w:space="0" w:color="auto"/>
              <w:left w:val="single" w:sz="4" w:space="0" w:color="auto"/>
              <w:bottom w:val="single" w:sz="4" w:space="0" w:color="auto"/>
              <w:right w:val="single" w:sz="4" w:space="0" w:color="auto"/>
            </w:tcBorders>
            <w:noWrap/>
            <w:vAlign w:val="center"/>
          </w:tcPr>
          <w:p w:rsidR="008D6098" w:rsidRPr="00B133DC" w:rsidRDefault="008D6098" w:rsidP="00E32549">
            <w:pPr>
              <w:rPr>
                <w:rFonts w:eastAsia="Arial Unicode MS" w:cs="Arial"/>
                <w:b/>
                <w:bCs/>
                <w:sz w:val="20"/>
                <w:szCs w:val="20"/>
              </w:rPr>
            </w:pPr>
            <w:r w:rsidRPr="00B133DC">
              <w:rPr>
                <w:rFonts w:cs="Arial"/>
                <w:b/>
                <w:bCs/>
                <w:sz w:val="20"/>
                <w:szCs w:val="20"/>
              </w:rPr>
              <w:t>Nombre Campo</w:t>
            </w:r>
          </w:p>
        </w:tc>
        <w:tc>
          <w:tcPr>
            <w:tcW w:w="4663" w:type="dxa"/>
            <w:tcBorders>
              <w:top w:val="single" w:sz="4" w:space="0" w:color="auto"/>
              <w:left w:val="nil"/>
              <w:bottom w:val="single" w:sz="4" w:space="0" w:color="auto"/>
              <w:right w:val="single" w:sz="4" w:space="0" w:color="auto"/>
            </w:tcBorders>
            <w:noWrap/>
            <w:vAlign w:val="center"/>
          </w:tcPr>
          <w:p w:rsidR="008D6098" w:rsidRPr="00B133DC" w:rsidRDefault="008D6098" w:rsidP="00E32549">
            <w:pPr>
              <w:ind w:left="127" w:right="142"/>
              <w:rPr>
                <w:rFonts w:eastAsia="Arial Unicode MS" w:cs="Arial"/>
                <w:b/>
                <w:bCs/>
                <w:sz w:val="20"/>
                <w:szCs w:val="20"/>
              </w:rPr>
            </w:pPr>
            <w:r w:rsidRPr="00B133DC">
              <w:rPr>
                <w:rFonts w:cs="Arial"/>
                <w:b/>
                <w:bCs/>
                <w:sz w:val="20"/>
                <w:szCs w:val="20"/>
              </w:rPr>
              <w:t>Descripción</w:t>
            </w:r>
          </w:p>
        </w:tc>
        <w:tc>
          <w:tcPr>
            <w:tcW w:w="1683" w:type="dxa"/>
            <w:tcBorders>
              <w:top w:val="single" w:sz="4" w:space="0" w:color="auto"/>
              <w:left w:val="nil"/>
              <w:bottom w:val="single" w:sz="4" w:space="0" w:color="auto"/>
              <w:right w:val="single" w:sz="4" w:space="0" w:color="auto"/>
            </w:tcBorders>
            <w:vAlign w:val="center"/>
          </w:tcPr>
          <w:p w:rsidR="008D6098" w:rsidRPr="00B133DC" w:rsidRDefault="008D6098" w:rsidP="00E32549">
            <w:pPr>
              <w:jc w:val="center"/>
              <w:rPr>
                <w:rFonts w:cs="Arial"/>
                <w:b/>
                <w:bCs/>
                <w:sz w:val="20"/>
                <w:szCs w:val="20"/>
              </w:rPr>
            </w:pPr>
            <w:proofErr w:type="spellStart"/>
            <w:r w:rsidRPr="00B133DC">
              <w:rPr>
                <w:rFonts w:cs="Arial"/>
                <w:b/>
                <w:bCs/>
                <w:sz w:val="20"/>
                <w:szCs w:val="20"/>
                <w:lang w:val="en-US"/>
              </w:rPr>
              <w:t>Formato</w:t>
            </w:r>
            <w:proofErr w:type="spellEnd"/>
          </w:p>
        </w:tc>
      </w:tr>
      <w:tr w:rsidR="008D6098" w:rsidRPr="00B133DC" w:rsidTr="00337B2D">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8D6098" w:rsidRPr="00B133DC" w:rsidRDefault="008D6098" w:rsidP="00337B2D">
            <w:pPr>
              <w:rPr>
                <w:rFonts w:cs="Arial"/>
                <w:sz w:val="20"/>
                <w:szCs w:val="20"/>
              </w:rPr>
            </w:pPr>
            <w:proofErr w:type="spellStart"/>
            <w:r w:rsidRPr="00B133DC">
              <w:rPr>
                <w:rFonts w:cs="Arial"/>
                <w:sz w:val="20"/>
                <w:szCs w:val="20"/>
              </w:rPr>
              <w:t>Id_deudor</w:t>
            </w:r>
            <w:proofErr w:type="spellEnd"/>
          </w:p>
        </w:tc>
        <w:tc>
          <w:tcPr>
            <w:tcW w:w="4663" w:type="dxa"/>
            <w:tcBorders>
              <w:top w:val="nil"/>
              <w:left w:val="nil"/>
              <w:bottom w:val="single" w:sz="4" w:space="0" w:color="auto"/>
              <w:right w:val="single" w:sz="4" w:space="0" w:color="auto"/>
            </w:tcBorders>
            <w:noWrap/>
            <w:vAlign w:val="center"/>
          </w:tcPr>
          <w:p w:rsidR="008D6098" w:rsidRPr="00B133DC" w:rsidRDefault="008D6098" w:rsidP="00337B2D">
            <w:pPr>
              <w:ind w:left="114" w:right="122"/>
              <w:rPr>
                <w:rFonts w:cs="Arial"/>
                <w:sz w:val="20"/>
                <w:szCs w:val="20"/>
              </w:rPr>
            </w:pPr>
            <w:r w:rsidRPr="00B133DC">
              <w:rPr>
                <w:rFonts w:cs="Arial"/>
                <w:sz w:val="20"/>
                <w:szCs w:val="20"/>
              </w:rPr>
              <w:t xml:space="preserve">Identificador del deudor. Se podrá informar en este campo un RUT chileno, pasaporte u otra identificación extranjera equivalente. </w:t>
            </w:r>
          </w:p>
        </w:tc>
        <w:tc>
          <w:tcPr>
            <w:tcW w:w="1683" w:type="dxa"/>
            <w:tcBorders>
              <w:top w:val="nil"/>
              <w:left w:val="nil"/>
              <w:bottom w:val="single" w:sz="4" w:space="0" w:color="auto"/>
              <w:right w:val="single" w:sz="4" w:space="0" w:color="auto"/>
            </w:tcBorders>
            <w:vAlign w:val="center"/>
          </w:tcPr>
          <w:p w:rsidR="008D6098" w:rsidRPr="00B133DC" w:rsidRDefault="00B133DC" w:rsidP="00B133DC">
            <w:pPr>
              <w:jc w:val="center"/>
              <w:rPr>
                <w:rFonts w:cs="Arial"/>
                <w:sz w:val="20"/>
                <w:szCs w:val="20"/>
              </w:rPr>
            </w:pPr>
            <w:r>
              <w:rPr>
                <w:rFonts w:cs="Arial"/>
                <w:bCs/>
                <w:sz w:val="20"/>
                <w:szCs w:val="20"/>
              </w:rPr>
              <w:t>99999999-9 o Texto</w:t>
            </w:r>
            <w:r w:rsidR="008D6098" w:rsidRPr="00B133DC">
              <w:rPr>
                <w:rFonts w:cs="Arial"/>
                <w:bCs/>
                <w:sz w:val="20"/>
                <w:szCs w:val="20"/>
              </w:rPr>
              <w:t>[15]</w:t>
            </w:r>
          </w:p>
        </w:tc>
      </w:tr>
      <w:tr w:rsidR="008D6098" w:rsidRPr="00B133DC" w:rsidTr="00337B2D">
        <w:trPr>
          <w:trHeight w:val="584"/>
          <w:jc w:val="center"/>
        </w:trPr>
        <w:tc>
          <w:tcPr>
            <w:tcW w:w="2533" w:type="dxa"/>
            <w:tcBorders>
              <w:top w:val="nil"/>
              <w:left w:val="single" w:sz="4" w:space="0" w:color="auto"/>
              <w:bottom w:val="single" w:sz="4" w:space="0" w:color="auto"/>
              <w:right w:val="single" w:sz="4" w:space="0" w:color="auto"/>
            </w:tcBorders>
            <w:noWrap/>
            <w:vAlign w:val="center"/>
          </w:tcPr>
          <w:p w:rsidR="008D6098" w:rsidRPr="00B133DC" w:rsidRDefault="008D6098" w:rsidP="00337B2D">
            <w:pPr>
              <w:rPr>
                <w:rFonts w:cs="Arial"/>
                <w:sz w:val="20"/>
                <w:szCs w:val="20"/>
              </w:rPr>
            </w:pPr>
            <w:proofErr w:type="spellStart"/>
            <w:r w:rsidRPr="00B133DC">
              <w:rPr>
                <w:rFonts w:cs="Arial"/>
                <w:sz w:val="20"/>
                <w:szCs w:val="20"/>
              </w:rPr>
              <w:t>Número_</w:t>
            </w:r>
            <w:r w:rsidR="00B133DC">
              <w:rPr>
                <w:rFonts w:cs="Arial"/>
                <w:sz w:val="20"/>
                <w:szCs w:val="20"/>
              </w:rPr>
              <w:t>folio</w:t>
            </w:r>
            <w:proofErr w:type="spellEnd"/>
          </w:p>
        </w:tc>
        <w:tc>
          <w:tcPr>
            <w:tcW w:w="4663" w:type="dxa"/>
            <w:tcBorders>
              <w:top w:val="nil"/>
              <w:left w:val="nil"/>
              <w:bottom w:val="single" w:sz="4" w:space="0" w:color="auto"/>
              <w:right w:val="single" w:sz="4" w:space="0" w:color="auto"/>
            </w:tcBorders>
            <w:noWrap/>
            <w:vAlign w:val="center"/>
          </w:tcPr>
          <w:p w:rsidR="008D6098" w:rsidRPr="00B133DC" w:rsidRDefault="008D6098" w:rsidP="00337B2D">
            <w:pPr>
              <w:ind w:left="114" w:right="122"/>
              <w:rPr>
                <w:rFonts w:cs="Arial"/>
                <w:sz w:val="20"/>
                <w:szCs w:val="20"/>
              </w:rPr>
            </w:pPr>
            <w:r w:rsidRPr="00B133DC">
              <w:rPr>
                <w:rFonts w:cs="Arial"/>
                <w:sz w:val="20"/>
                <w:szCs w:val="20"/>
              </w:rPr>
              <w:t xml:space="preserve">Número </w:t>
            </w:r>
            <w:r w:rsidR="00B133DC">
              <w:rPr>
                <w:rFonts w:cs="Arial"/>
                <w:sz w:val="20"/>
                <w:szCs w:val="20"/>
              </w:rPr>
              <w:t xml:space="preserve">único que identifique </w:t>
            </w:r>
            <w:r w:rsidRPr="00B133DC">
              <w:rPr>
                <w:rFonts w:cs="Arial"/>
                <w:sz w:val="20"/>
                <w:szCs w:val="20"/>
              </w:rPr>
              <w:t>la operación.</w:t>
            </w:r>
          </w:p>
        </w:tc>
        <w:tc>
          <w:tcPr>
            <w:tcW w:w="1683" w:type="dxa"/>
            <w:tcBorders>
              <w:top w:val="nil"/>
              <w:left w:val="nil"/>
              <w:bottom w:val="single" w:sz="4" w:space="0" w:color="auto"/>
              <w:right w:val="single" w:sz="4" w:space="0" w:color="auto"/>
            </w:tcBorders>
            <w:vAlign w:val="center"/>
          </w:tcPr>
          <w:p w:rsidR="008D6098" w:rsidRPr="00B133DC" w:rsidRDefault="00DF5D65" w:rsidP="00B133DC">
            <w:pPr>
              <w:jc w:val="center"/>
              <w:rPr>
                <w:rFonts w:cs="Arial"/>
                <w:sz w:val="20"/>
                <w:szCs w:val="20"/>
              </w:rPr>
            </w:pPr>
            <w:r>
              <w:rPr>
                <w:rFonts w:cs="Arial"/>
                <w:bCs/>
                <w:sz w:val="20"/>
                <w:szCs w:val="20"/>
              </w:rPr>
              <w:t>Texto</w:t>
            </w:r>
            <w:r w:rsidRPr="00B133DC">
              <w:rPr>
                <w:rFonts w:cs="Arial"/>
                <w:bCs/>
                <w:sz w:val="20"/>
                <w:szCs w:val="20"/>
              </w:rPr>
              <w:t>[15]</w:t>
            </w:r>
          </w:p>
        </w:tc>
      </w:tr>
      <w:tr w:rsidR="008D6098" w:rsidRPr="00B133DC" w:rsidTr="00337B2D">
        <w:trPr>
          <w:trHeight w:val="564"/>
          <w:jc w:val="center"/>
        </w:trPr>
        <w:tc>
          <w:tcPr>
            <w:tcW w:w="2533" w:type="dxa"/>
            <w:tcBorders>
              <w:top w:val="nil"/>
              <w:left w:val="single" w:sz="4" w:space="0" w:color="auto"/>
              <w:bottom w:val="single" w:sz="4" w:space="0" w:color="auto"/>
              <w:right w:val="single" w:sz="4" w:space="0" w:color="auto"/>
            </w:tcBorders>
            <w:noWrap/>
            <w:vAlign w:val="center"/>
          </w:tcPr>
          <w:p w:rsidR="008D6098" w:rsidRPr="00B133DC" w:rsidRDefault="008D6098" w:rsidP="00337B2D">
            <w:pPr>
              <w:rPr>
                <w:rFonts w:cs="Arial"/>
                <w:sz w:val="20"/>
                <w:szCs w:val="20"/>
              </w:rPr>
            </w:pPr>
            <w:proofErr w:type="spellStart"/>
            <w:r w:rsidRPr="00B133DC">
              <w:rPr>
                <w:rFonts w:cs="Arial"/>
                <w:sz w:val="20"/>
                <w:szCs w:val="20"/>
              </w:rPr>
              <w:t>Fecha_</w:t>
            </w:r>
            <w:r w:rsidR="00B133DC">
              <w:rPr>
                <w:rFonts w:cs="Arial"/>
                <w:sz w:val="20"/>
                <w:szCs w:val="20"/>
              </w:rPr>
              <w:t>deuda</w:t>
            </w:r>
            <w:proofErr w:type="spellEnd"/>
          </w:p>
        </w:tc>
        <w:tc>
          <w:tcPr>
            <w:tcW w:w="4663" w:type="dxa"/>
            <w:tcBorders>
              <w:top w:val="nil"/>
              <w:left w:val="nil"/>
              <w:bottom w:val="single" w:sz="4" w:space="0" w:color="auto"/>
              <w:right w:val="single" w:sz="4" w:space="0" w:color="auto"/>
            </w:tcBorders>
            <w:noWrap/>
            <w:vAlign w:val="center"/>
          </w:tcPr>
          <w:p w:rsidR="008D6098" w:rsidRPr="00B133DC" w:rsidRDefault="008D6098" w:rsidP="00337B2D">
            <w:pPr>
              <w:ind w:left="114" w:right="122"/>
              <w:rPr>
                <w:rFonts w:cs="Arial"/>
                <w:sz w:val="20"/>
                <w:szCs w:val="20"/>
              </w:rPr>
            </w:pPr>
            <w:r w:rsidRPr="00B133DC">
              <w:rPr>
                <w:rFonts w:cs="Arial"/>
                <w:sz w:val="20"/>
                <w:szCs w:val="20"/>
              </w:rPr>
              <w:t xml:space="preserve">Fecha de </w:t>
            </w:r>
            <w:r w:rsidR="00B133DC">
              <w:rPr>
                <w:rFonts w:cs="Arial"/>
                <w:sz w:val="20"/>
                <w:szCs w:val="20"/>
              </w:rPr>
              <w:t>inicio de la deuda</w:t>
            </w:r>
            <w:r w:rsidRPr="00B133DC">
              <w:rPr>
                <w:rFonts w:cs="Arial"/>
                <w:sz w:val="20"/>
                <w:szCs w:val="20"/>
              </w:rPr>
              <w:t>.</w:t>
            </w:r>
          </w:p>
        </w:tc>
        <w:tc>
          <w:tcPr>
            <w:tcW w:w="1683" w:type="dxa"/>
            <w:tcBorders>
              <w:top w:val="nil"/>
              <w:left w:val="nil"/>
              <w:bottom w:val="single" w:sz="4" w:space="0" w:color="auto"/>
              <w:right w:val="single" w:sz="4" w:space="0" w:color="auto"/>
            </w:tcBorders>
            <w:vAlign w:val="center"/>
          </w:tcPr>
          <w:p w:rsidR="008D6098" w:rsidRPr="00B133DC" w:rsidRDefault="008D6098" w:rsidP="00B133DC">
            <w:pPr>
              <w:jc w:val="center"/>
              <w:rPr>
                <w:rFonts w:cs="Arial"/>
                <w:sz w:val="20"/>
                <w:szCs w:val="20"/>
              </w:rPr>
            </w:pPr>
            <w:r w:rsidRPr="00B133DC">
              <w:rPr>
                <w:rFonts w:cs="Arial"/>
                <w:bCs/>
                <w:sz w:val="20"/>
                <w:szCs w:val="20"/>
              </w:rPr>
              <w:t>AAAAMMDD</w:t>
            </w:r>
          </w:p>
        </w:tc>
      </w:tr>
      <w:tr w:rsidR="008D6098" w:rsidRPr="00B133DC" w:rsidTr="00337B2D">
        <w:trPr>
          <w:trHeight w:val="700"/>
          <w:jc w:val="center"/>
        </w:trPr>
        <w:tc>
          <w:tcPr>
            <w:tcW w:w="2533" w:type="dxa"/>
            <w:tcBorders>
              <w:top w:val="nil"/>
              <w:left w:val="single" w:sz="4" w:space="0" w:color="auto"/>
              <w:bottom w:val="single" w:sz="4" w:space="0" w:color="auto"/>
              <w:right w:val="single" w:sz="4" w:space="0" w:color="auto"/>
            </w:tcBorders>
            <w:noWrap/>
            <w:vAlign w:val="center"/>
          </w:tcPr>
          <w:p w:rsidR="008D6098" w:rsidRPr="00B133DC" w:rsidRDefault="008D6098" w:rsidP="00337B2D">
            <w:pPr>
              <w:rPr>
                <w:rFonts w:cs="Arial"/>
                <w:sz w:val="20"/>
                <w:szCs w:val="20"/>
              </w:rPr>
            </w:pPr>
            <w:proofErr w:type="spellStart"/>
            <w:r w:rsidRPr="00B133DC">
              <w:rPr>
                <w:rFonts w:cs="Arial"/>
                <w:sz w:val="20"/>
                <w:szCs w:val="20"/>
              </w:rPr>
              <w:t>Fecha_primer_impago</w:t>
            </w:r>
            <w:proofErr w:type="spellEnd"/>
          </w:p>
        </w:tc>
        <w:tc>
          <w:tcPr>
            <w:tcW w:w="4663" w:type="dxa"/>
            <w:tcBorders>
              <w:top w:val="nil"/>
              <w:left w:val="nil"/>
              <w:bottom w:val="single" w:sz="4" w:space="0" w:color="auto"/>
              <w:right w:val="single" w:sz="4" w:space="0" w:color="auto"/>
            </w:tcBorders>
            <w:noWrap/>
            <w:vAlign w:val="center"/>
          </w:tcPr>
          <w:p w:rsidR="008D6098" w:rsidRPr="00B133DC" w:rsidRDefault="00B133DC" w:rsidP="00337B2D">
            <w:pPr>
              <w:ind w:left="114" w:right="122"/>
              <w:rPr>
                <w:rFonts w:cs="Arial"/>
                <w:sz w:val="20"/>
                <w:szCs w:val="20"/>
              </w:rPr>
            </w:pPr>
            <w:r>
              <w:rPr>
                <w:rFonts w:cs="Arial"/>
                <w:sz w:val="20"/>
                <w:szCs w:val="20"/>
              </w:rPr>
              <w:t>Fecha de vencimiento del impago más antigua</w:t>
            </w:r>
            <w:r w:rsidR="008D6098" w:rsidRPr="00B133DC">
              <w:rPr>
                <w:rFonts w:cs="Arial"/>
                <w:sz w:val="20"/>
                <w:szCs w:val="20"/>
              </w:rPr>
              <w:t xml:space="preserve">. </w:t>
            </w:r>
          </w:p>
        </w:tc>
        <w:tc>
          <w:tcPr>
            <w:tcW w:w="1683" w:type="dxa"/>
            <w:tcBorders>
              <w:top w:val="nil"/>
              <w:left w:val="nil"/>
              <w:bottom w:val="single" w:sz="4" w:space="0" w:color="auto"/>
              <w:right w:val="single" w:sz="4" w:space="0" w:color="auto"/>
            </w:tcBorders>
            <w:vAlign w:val="center"/>
          </w:tcPr>
          <w:p w:rsidR="008D6098" w:rsidRPr="00B133DC" w:rsidRDefault="008D6098" w:rsidP="00B133DC">
            <w:pPr>
              <w:jc w:val="center"/>
              <w:rPr>
                <w:rFonts w:cs="Arial"/>
                <w:sz w:val="20"/>
                <w:szCs w:val="20"/>
              </w:rPr>
            </w:pPr>
            <w:r w:rsidRPr="00B133DC">
              <w:rPr>
                <w:rFonts w:cs="Arial"/>
                <w:bCs/>
                <w:sz w:val="20"/>
                <w:szCs w:val="20"/>
              </w:rPr>
              <w:t>AAAAMMDD</w:t>
            </w:r>
          </w:p>
        </w:tc>
      </w:tr>
      <w:tr w:rsidR="008D6098" w:rsidRPr="00B133DC" w:rsidTr="00B133DC">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8D6098" w:rsidRPr="00B133DC" w:rsidRDefault="008D6098" w:rsidP="00B133DC">
            <w:pPr>
              <w:rPr>
                <w:rFonts w:eastAsia="Arial Unicode MS" w:cs="Arial"/>
                <w:sz w:val="20"/>
                <w:szCs w:val="20"/>
              </w:rPr>
            </w:pPr>
            <w:proofErr w:type="spellStart"/>
            <w:r w:rsidRPr="00B133DC">
              <w:rPr>
                <w:rFonts w:eastAsia="Arial Unicode MS" w:cs="Arial"/>
                <w:sz w:val="20"/>
                <w:szCs w:val="20"/>
              </w:rPr>
              <w:t>Monto_</w:t>
            </w:r>
            <w:r w:rsidR="00B133DC">
              <w:rPr>
                <w:rFonts w:eastAsia="Arial Unicode MS" w:cs="Arial"/>
                <w:sz w:val="20"/>
                <w:szCs w:val="20"/>
              </w:rPr>
              <w:t>deuda</w:t>
            </w:r>
            <w:proofErr w:type="spellEnd"/>
          </w:p>
        </w:tc>
        <w:tc>
          <w:tcPr>
            <w:tcW w:w="4663" w:type="dxa"/>
            <w:tcBorders>
              <w:top w:val="nil"/>
              <w:left w:val="nil"/>
              <w:bottom w:val="single" w:sz="4" w:space="0" w:color="auto"/>
              <w:right w:val="single" w:sz="4" w:space="0" w:color="auto"/>
            </w:tcBorders>
            <w:noWrap/>
            <w:vAlign w:val="bottom"/>
          </w:tcPr>
          <w:p w:rsidR="008D6098" w:rsidRPr="00B133DC" w:rsidRDefault="00B133DC" w:rsidP="00B133DC">
            <w:pPr>
              <w:ind w:left="114" w:right="122"/>
              <w:rPr>
                <w:rFonts w:cs="Arial"/>
                <w:sz w:val="20"/>
                <w:szCs w:val="20"/>
              </w:rPr>
            </w:pPr>
            <w:r>
              <w:rPr>
                <w:rFonts w:cs="Arial"/>
                <w:sz w:val="20"/>
                <w:szCs w:val="20"/>
              </w:rPr>
              <w:t>Monto de la deuda</w:t>
            </w:r>
            <w:r w:rsidR="008D6098" w:rsidRPr="00B133DC">
              <w:rPr>
                <w:rFonts w:cs="Arial"/>
                <w:sz w:val="20"/>
                <w:szCs w:val="20"/>
              </w:rPr>
              <w:t xml:space="preserve"> en pesos. Para el caso de </w:t>
            </w:r>
            <w:r>
              <w:rPr>
                <w:rFonts w:cs="Arial"/>
                <w:sz w:val="20"/>
                <w:szCs w:val="20"/>
              </w:rPr>
              <w:t>deudas</w:t>
            </w:r>
            <w:r w:rsidR="008D6098" w:rsidRPr="00B133DC">
              <w:rPr>
                <w:rFonts w:cs="Arial"/>
                <w:sz w:val="20"/>
                <w:szCs w:val="20"/>
              </w:rPr>
              <w:t xml:space="preserve"> en moneda reajustable, este valor se deberá expresar en pesos, utilizando la U.F. al cierre contable reportado.</w:t>
            </w:r>
          </w:p>
        </w:tc>
        <w:tc>
          <w:tcPr>
            <w:tcW w:w="1683" w:type="dxa"/>
            <w:tcBorders>
              <w:top w:val="nil"/>
              <w:left w:val="nil"/>
              <w:bottom w:val="single" w:sz="4" w:space="0" w:color="auto"/>
              <w:right w:val="single" w:sz="4" w:space="0" w:color="auto"/>
            </w:tcBorders>
            <w:vAlign w:val="center"/>
          </w:tcPr>
          <w:p w:rsidR="008D6098" w:rsidRPr="00B133DC" w:rsidRDefault="008D6098" w:rsidP="00B133DC">
            <w:pPr>
              <w:jc w:val="center"/>
              <w:rPr>
                <w:rFonts w:cs="Arial"/>
                <w:sz w:val="20"/>
                <w:szCs w:val="20"/>
              </w:rPr>
            </w:pPr>
            <w:r w:rsidRPr="00B133DC">
              <w:rPr>
                <w:rFonts w:cs="Arial"/>
                <w:bCs/>
                <w:sz w:val="20"/>
                <w:szCs w:val="20"/>
              </w:rPr>
              <w:t>N[15]</w:t>
            </w:r>
          </w:p>
        </w:tc>
      </w:tr>
      <w:tr w:rsidR="00337B2D" w:rsidRPr="00B133DC" w:rsidTr="00B133DC">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337B2D" w:rsidRPr="00B133DC" w:rsidRDefault="00337B2D" w:rsidP="00E32549">
            <w:pPr>
              <w:rPr>
                <w:rFonts w:eastAsia="Arial Unicode MS" w:cs="Arial"/>
                <w:sz w:val="20"/>
                <w:szCs w:val="20"/>
              </w:rPr>
            </w:pPr>
            <w:proofErr w:type="spellStart"/>
            <w:r w:rsidRPr="00B133DC">
              <w:rPr>
                <w:rFonts w:eastAsia="Arial Unicode MS" w:cs="Arial"/>
                <w:sz w:val="20"/>
                <w:szCs w:val="20"/>
              </w:rPr>
              <w:t>Intereses_</w:t>
            </w:r>
            <w:r>
              <w:rPr>
                <w:rFonts w:eastAsia="Arial Unicode MS" w:cs="Arial"/>
                <w:sz w:val="20"/>
                <w:szCs w:val="20"/>
              </w:rPr>
              <w:t>y_multas</w:t>
            </w:r>
            <w:proofErr w:type="spellEnd"/>
          </w:p>
        </w:tc>
        <w:tc>
          <w:tcPr>
            <w:tcW w:w="4663" w:type="dxa"/>
            <w:tcBorders>
              <w:top w:val="nil"/>
              <w:left w:val="nil"/>
              <w:bottom w:val="single" w:sz="4" w:space="0" w:color="auto"/>
              <w:right w:val="single" w:sz="4" w:space="0" w:color="auto"/>
            </w:tcBorders>
            <w:noWrap/>
            <w:vAlign w:val="bottom"/>
          </w:tcPr>
          <w:p w:rsidR="00337B2D" w:rsidRPr="00B133DC" w:rsidRDefault="00337B2D" w:rsidP="00E32549">
            <w:pPr>
              <w:ind w:left="114" w:right="122"/>
              <w:rPr>
                <w:rFonts w:cs="Arial"/>
                <w:sz w:val="20"/>
                <w:szCs w:val="20"/>
              </w:rPr>
            </w:pPr>
            <w:r>
              <w:rPr>
                <w:rFonts w:cs="Arial"/>
                <w:sz w:val="20"/>
                <w:szCs w:val="20"/>
              </w:rPr>
              <w:t xml:space="preserve">Monto de los intereses, multas, reajustes u otros recargados que haya generado la deuda morosa, </w:t>
            </w:r>
            <w:r w:rsidRPr="00B133DC">
              <w:rPr>
                <w:rFonts w:cs="Arial"/>
                <w:sz w:val="20"/>
                <w:szCs w:val="20"/>
              </w:rPr>
              <w:t xml:space="preserve">en pesos. Para el caso de </w:t>
            </w:r>
            <w:r>
              <w:rPr>
                <w:rFonts w:cs="Arial"/>
                <w:sz w:val="20"/>
                <w:szCs w:val="20"/>
              </w:rPr>
              <w:t>deudas</w:t>
            </w:r>
            <w:r w:rsidRPr="00B133DC">
              <w:rPr>
                <w:rFonts w:cs="Arial"/>
                <w:sz w:val="20"/>
                <w:szCs w:val="20"/>
              </w:rPr>
              <w:t xml:space="preserve"> en moneda reajustable, este valor se deberá expresar en pesos, utilizando la U.F. al cierre contable reportado.</w:t>
            </w:r>
          </w:p>
        </w:tc>
        <w:tc>
          <w:tcPr>
            <w:tcW w:w="1683" w:type="dxa"/>
            <w:tcBorders>
              <w:top w:val="nil"/>
              <w:left w:val="nil"/>
              <w:bottom w:val="single" w:sz="4" w:space="0" w:color="auto"/>
              <w:right w:val="single" w:sz="4" w:space="0" w:color="auto"/>
            </w:tcBorders>
            <w:vAlign w:val="center"/>
          </w:tcPr>
          <w:p w:rsidR="00337B2D" w:rsidRPr="00B133DC" w:rsidRDefault="00337B2D" w:rsidP="00E32549">
            <w:pPr>
              <w:jc w:val="center"/>
              <w:rPr>
                <w:rFonts w:cs="Arial"/>
                <w:sz w:val="20"/>
                <w:szCs w:val="20"/>
              </w:rPr>
            </w:pPr>
            <w:r w:rsidRPr="00B133DC">
              <w:rPr>
                <w:rFonts w:cs="Arial"/>
                <w:bCs/>
                <w:sz w:val="20"/>
                <w:szCs w:val="20"/>
              </w:rPr>
              <w:t>N[15]</w:t>
            </w:r>
          </w:p>
        </w:tc>
      </w:tr>
      <w:tr w:rsidR="008D6098" w:rsidRPr="00B133DC" w:rsidTr="00E140E2">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8D6098" w:rsidRPr="00B133DC" w:rsidRDefault="00337B2D" w:rsidP="00E32549">
            <w:pPr>
              <w:rPr>
                <w:rFonts w:eastAsia="Arial Unicode MS" w:cs="Arial"/>
                <w:sz w:val="20"/>
                <w:szCs w:val="20"/>
              </w:rPr>
            </w:pPr>
            <w:r>
              <w:rPr>
                <w:rFonts w:eastAsia="Arial Unicode MS" w:cs="Arial"/>
                <w:sz w:val="20"/>
                <w:szCs w:val="20"/>
              </w:rPr>
              <w:t>Provisión</w:t>
            </w:r>
          </w:p>
        </w:tc>
        <w:tc>
          <w:tcPr>
            <w:tcW w:w="4663" w:type="dxa"/>
            <w:tcBorders>
              <w:top w:val="nil"/>
              <w:left w:val="nil"/>
              <w:bottom w:val="single" w:sz="4" w:space="0" w:color="auto"/>
              <w:right w:val="single" w:sz="4" w:space="0" w:color="auto"/>
            </w:tcBorders>
            <w:noWrap/>
            <w:vAlign w:val="bottom"/>
          </w:tcPr>
          <w:p w:rsidR="008D6098" w:rsidRPr="00B133DC" w:rsidRDefault="00337B2D" w:rsidP="00337B2D">
            <w:pPr>
              <w:ind w:left="114" w:right="122"/>
              <w:rPr>
                <w:rFonts w:cs="Arial"/>
                <w:sz w:val="20"/>
                <w:szCs w:val="20"/>
              </w:rPr>
            </w:pPr>
            <w:r>
              <w:rPr>
                <w:rFonts w:cs="Arial"/>
                <w:sz w:val="20"/>
                <w:szCs w:val="20"/>
              </w:rPr>
              <w:t>Monto de la provisión constituida</w:t>
            </w:r>
            <w:r w:rsidRPr="00B133DC">
              <w:rPr>
                <w:rFonts w:cs="Arial"/>
                <w:sz w:val="20"/>
                <w:szCs w:val="20"/>
              </w:rPr>
              <w:t xml:space="preserve"> en pesos. Para el caso de </w:t>
            </w:r>
            <w:r>
              <w:rPr>
                <w:rFonts w:cs="Arial"/>
                <w:sz w:val="20"/>
                <w:szCs w:val="20"/>
              </w:rPr>
              <w:t>deudas</w:t>
            </w:r>
            <w:r w:rsidRPr="00B133DC">
              <w:rPr>
                <w:rFonts w:cs="Arial"/>
                <w:sz w:val="20"/>
                <w:szCs w:val="20"/>
              </w:rPr>
              <w:t xml:space="preserve"> en moneda reajustable, este valor se deberá expresar en pesos, utilizando la U.F. al cierre contable reportado.</w:t>
            </w:r>
          </w:p>
        </w:tc>
        <w:tc>
          <w:tcPr>
            <w:tcW w:w="1683" w:type="dxa"/>
            <w:tcBorders>
              <w:top w:val="nil"/>
              <w:left w:val="nil"/>
              <w:bottom w:val="single" w:sz="4" w:space="0" w:color="auto"/>
              <w:right w:val="single" w:sz="4" w:space="0" w:color="auto"/>
            </w:tcBorders>
            <w:vAlign w:val="center"/>
          </w:tcPr>
          <w:p w:rsidR="008D6098" w:rsidRPr="00B133DC" w:rsidRDefault="008D6098" w:rsidP="00B133DC">
            <w:pPr>
              <w:jc w:val="center"/>
              <w:rPr>
                <w:rFonts w:cs="Arial"/>
                <w:sz w:val="20"/>
                <w:szCs w:val="20"/>
              </w:rPr>
            </w:pPr>
            <w:r w:rsidRPr="00B133DC">
              <w:rPr>
                <w:rFonts w:cs="Arial"/>
                <w:bCs/>
                <w:sz w:val="20"/>
                <w:szCs w:val="20"/>
              </w:rPr>
              <w:t>N[15]</w:t>
            </w:r>
          </w:p>
        </w:tc>
      </w:tr>
      <w:tr w:rsidR="008D6098" w:rsidRPr="00B133DC" w:rsidTr="0084028B">
        <w:trPr>
          <w:trHeight w:val="255"/>
          <w:jc w:val="center"/>
        </w:trPr>
        <w:tc>
          <w:tcPr>
            <w:tcW w:w="2533" w:type="dxa"/>
            <w:tcBorders>
              <w:top w:val="single" w:sz="4" w:space="0" w:color="auto"/>
              <w:left w:val="single" w:sz="4" w:space="0" w:color="auto"/>
              <w:bottom w:val="single" w:sz="4" w:space="0" w:color="auto"/>
              <w:right w:val="single" w:sz="4" w:space="0" w:color="auto"/>
            </w:tcBorders>
            <w:noWrap/>
            <w:vAlign w:val="center"/>
          </w:tcPr>
          <w:p w:rsidR="008D6098" w:rsidRPr="00B133DC" w:rsidRDefault="00337B2D" w:rsidP="00E32549">
            <w:pPr>
              <w:rPr>
                <w:rFonts w:eastAsia="Arial Unicode MS" w:cs="Arial"/>
                <w:sz w:val="20"/>
                <w:szCs w:val="20"/>
              </w:rPr>
            </w:pPr>
            <w:proofErr w:type="spellStart"/>
            <w:r>
              <w:rPr>
                <w:rFonts w:eastAsia="Arial Unicode MS" w:cs="Arial"/>
                <w:sz w:val="20"/>
                <w:szCs w:val="20"/>
              </w:rPr>
              <w:t>Cobranza_judicial</w:t>
            </w:r>
            <w:proofErr w:type="spellEnd"/>
          </w:p>
        </w:tc>
        <w:tc>
          <w:tcPr>
            <w:tcW w:w="4663" w:type="dxa"/>
            <w:tcBorders>
              <w:top w:val="single" w:sz="4" w:space="0" w:color="auto"/>
              <w:left w:val="nil"/>
              <w:bottom w:val="single" w:sz="4" w:space="0" w:color="auto"/>
              <w:right w:val="single" w:sz="4" w:space="0" w:color="auto"/>
            </w:tcBorders>
            <w:noWrap/>
            <w:vAlign w:val="bottom"/>
          </w:tcPr>
          <w:p w:rsidR="008D6098" w:rsidRPr="00B133DC" w:rsidRDefault="00337B2D" w:rsidP="00337B2D">
            <w:pPr>
              <w:ind w:left="114" w:right="122"/>
              <w:rPr>
                <w:rFonts w:cs="Arial"/>
                <w:sz w:val="20"/>
                <w:szCs w:val="20"/>
              </w:rPr>
            </w:pPr>
            <w:r>
              <w:rPr>
                <w:rFonts w:cs="Arial"/>
                <w:sz w:val="20"/>
                <w:szCs w:val="20"/>
              </w:rPr>
              <w:t>Señalar con el código “1” si la deuda se encuentra en cobranza judicial y con el código “2” si la deuda no se encuentra en cobranza judicial.</w:t>
            </w:r>
          </w:p>
        </w:tc>
        <w:tc>
          <w:tcPr>
            <w:tcW w:w="1683" w:type="dxa"/>
            <w:tcBorders>
              <w:top w:val="single" w:sz="4" w:space="0" w:color="auto"/>
              <w:left w:val="nil"/>
              <w:bottom w:val="single" w:sz="4" w:space="0" w:color="auto"/>
              <w:right w:val="single" w:sz="4" w:space="0" w:color="auto"/>
            </w:tcBorders>
            <w:vAlign w:val="center"/>
          </w:tcPr>
          <w:p w:rsidR="008D6098" w:rsidRPr="00B133DC" w:rsidRDefault="008D6098" w:rsidP="00337B2D">
            <w:pPr>
              <w:jc w:val="center"/>
              <w:rPr>
                <w:rFonts w:cs="Arial"/>
                <w:sz w:val="20"/>
                <w:szCs w:val="20"/>
              </w:rPr>
            </w:pPr>
            <w:r w:rsidRPr="00B133DC">
              <w:rPr>
                <w:rFonts w:cs="Arial"/>
                <w:bCs/>
                <w:sz w:val="20"/>
                <w:szCs w:val="20"/>
              </w:rPr>
              <w:t>N[</w:t>
            </w:r>
            <w:r w:rsidR="00337B2D">
              <w:rPr>
                <w:rFonts w:cs="Arial"/>
                <w:bCs/>
                <w:sz w:val="20"/>
                <w:szCs w:val="20"/>
              </w:rPr>
              <w:t>1</w:t>
            </w:r>
            <w:r w:rsidRPr="00B133DC">
              <w:rPr>
                <w:rFonts w:cs="Arial"/>
                <w:bCs/>
                <w:sz w:val="20"/>
                <w:szCs w:val="20"/>
              </w:rPr>
              <w:t>]</w:t>
            </w:r>
          </w:p>
        </w:tc>
      </w:tr>
      <w:tr w:rsidR="00E140E2" w:rsidRPr="00B133DC" w:rsidTr="00E140E2">
        <w:trPr>
          <w:trHeight w:val="255"/>
          <w:jc w:val="center"/>
        </w:trPr>
        <w:tc>
          <w:tcPr>
            <w:tcW w:w="2533" w:type="dxa"/>
            <w:tcBorders>
              <w:top w:val="single" w:sz="4" w:space="0" w:color="auto"/>
              <w:left w:val="single" w:sz="4" w:space="0" w:color="auto"/>
              <w:bottom w:val="single" w:sz="4" w:space="0" w:color="auto"/>
              <w:right w:val="single" w:sz="4" w:space="0" w:color="auto"/>
            </w:tcBorders>
            <w:noWrap/>
            <w:vAlign w:val="center"/>
          </w:tcPr>
          <w:p w:rsidR="00E140E2" w:rsidRDefault="00E140E2" w:rsidP="00E32549">
            <w:pPr>
              <w:rPr>
                <w:rFonts w:eastAsia="Arial Unicode MS" w:cs="Arial"/>
                <w:sz w:val="20"/>
                <w:szCs w:val="20"/>
              </w:rPr>
            </w:pPr>
            <w:proofErr w:type="spellStart"/>
            <w:r>
              <w:rPr>
                <w:rFonts w:eastAsia="Arial Unicode MS" w:cs="Arial"/>
                <w:sz w:val="20"/>
                <w:szCs w:val="20"/>
              </w:rPr>
              <w:t>Cuenta_contable</w:t>
            </w:r>
            <w:proofErr w:type="spellEnd"/>
          </w:p>
        </w:tc>
        <w:tc>
          <w:tcPr>
            <w:tcW w:w="4663" w:type="dxa"/>
            <w:tcBorders>
              <w:top w:val="single" w:sz="4" w:space="0" w:color="auto"/>
              <w:left w:val="nil"/>
              <w:bottom w:val="single" w:sz="4" w:space="0" w:color="auto"/>
              <w:right w:val="single" w:sz="4" w:space="0" w:color="auto"/>
            </w:tcBorders>
            <w:noWrap/>
            <w:vAlign w:val="bottom"/>
          </w:tcPr>
          <w:p w:rsidR="00E140E2" w:rsidRDefault="00E140E2" w:rsidP="00337B2D">
            <w:pPr>
              <w:ind w:left="114" w:right="122"/>
              <w:rPr>
                <w:rFonts w:cs="Arial"/>
                <w:sz w:val="20"/>
                <w:szCs w:val="20"/>
              </w:rPr>
            </w:pPr>
            <w:r>
              <w:rPr>
                <w:rFonts w:cs="Arial"/>
                <w:sz w:val="20"/>
                <w:szCs w:val="20"/>
              </w:rPr>
              <w:t>Código del ítem del activo del FUPEF – IFRS donde se encuentra imputado el monto de la deuda.</w:t>
            </w:r>
          </w:p>
        </w:tc>
        <w:tc>
          <w:tcPr>
            <w:tcW w:w="1683" w:type="dxa"/>
            <w:tcBorders>
              <w:top w:val="single" w:sz="4" w:space="0" w:color="auto"/>
              <w:left w:val="nil"/>
              <w:bottom w:val="single" w:sz="4" w:space="0" w:color="auto"/>
              <w:right w:val="single" w:sz="4" w:space="0" w:color="auto"/>
            </w:tcBorders>
            <w:vAlign w:val="center"/>
          </w:tcPr>
          <w:p w:rsidR="00E140E2" w:rsidRPr="00B133DC" w:rsidRDefault="00E140E2" w:rsidP="00337B2D">
            <w:pPr>
              <w:jc w:val="center"/>
              <w:rPr>
                <w:rFonts w:cs="Arial"/>
                <w:bCs/>
                <w:sz w:val="20"/>
                <w:szCs w:val="20"/>
              </w:rPr>
            </w:pPr>
            <w:r w:rsidRPr="00B133DC">
              <w:rPr>
                <w:rFonts w:cs="Arial"/>
                <w:bCs/>
                <w:sz w:val="20"/>
                <w:szCs w:val="20"/>
              </w:rPr>
              <w:t>N[</w:t>
            </w:r>
            <w:r>
              <w:rPr>
                <w:rFonts w:cs="Arial"/>
                <w:bCs/>
                <w:sz w:val="20"/>
                <w:szCs w:val="20"/>
              </w:rPr>
              <w:t>5</w:t>
            </w:r>
            <w:r w:rsidRPr="00B133DC">
              <w:rPr>
                <w:rFonts w:cs="Arial"/>
                <w:bCs/>
                <w:sz w:val="20"/>
                <w:szCs w:val="20"/>
              </w:rPr>
              <w:t>]</w:t>
            </w:r>
          </w:p>
        </w:tc>
      </w:tr>
    </w:tbl>
    <w:p w:rsidR="008D6098" w:rsidRPr="00B133DC" w:rsidRDefault="008D6098" w:rsidP="008D6098">
      <w:pPr>
        <w:pStyle w:val="Prrafodelista"/>
        <w:widowControl w:val="0"/>
        <w:spacing w:before="8" w:line="276" w:lineRule="exact"/>
        <w:ind w:left="284"/>
        <w:rPr>
          <w:rFonts w:eastAsia="Arial Unicode MS" w:cs="Arial"/>
          <w:b/>
          <w:w w:val="105"/>
          <w:sz w:val="20"/>
          <w:szCs w:val="20"/>
        </w:rPr>
      </w:pPr>
    </w:p>
    <w:p w:rsidR="002F7165" w:rsidRPr="00B133DC" w:rsidRDefault="002F7165">
      <w:pPr>
        <w:rPr>
          <w:rFonts w:cs="Arial"/>
        </w:rPr>
      </w:pPr>
    </w:p>
    <w:sectPr w:rsidR="002F7165" w:rsidRPr="00B133DC" w:rsidSect="00B52D97">
      <w:headerReference w:type="even" r:id="rId10"/>
      <w:headerReference w:type="default" r:id="rId11"/>
      <w:footerReference w:type="even" r:id="rId12"/>
      <w:footerReference w:type="default" r:id="rId13"/>
      <w:headerReference w:type="first" r:id="rId14"/>
      <w:footerReference w:type="first" r:id="rId15"/>
      <w:pgSz w:w="12240" w:h="18720"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3F" w:rsidRDefault="009E543F" w:rsidP="0085002C">
      <w:r>
        <w:separator/>
      </w:r>
    </w:p>
  </w:endnote>
  <w:endnote w:type="continuationSeparator" w:id="0">
    <w:p w:rsidR="009E543F" w:rsidRDefault="009E543F" w:rsidP="0085002C">
      <w:r>
        <w:continuationSeparator/>
      </w:r>
    </w:p>
  </w:endnote>
  <w:endnote w:type="continuationNotice" w:id="1">
    <w:p w:rsidR="009E543F" w:rsidRDefault="009E5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E2" w:rsidRDefault="00E140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919859"/>
      <w:docPartObj>
        <w:docPartGallery w:val="Page Numbers (Bottom of Page)"/>
        <w:docPartUnique/>
      </w:docPartObj>
    </w:sdtPr>
    <w:sdtEndPr/>
    <w:sdtContent>
      <w:p w:rsidR="000042D8" w:rsidRDefault="000042D8">
        <w:pPr>
          <w:pStyle w:val="Piedepgina"/>
          <w:jc w:val="right"/>
        </w:pPr>
        <w:r>
          <w:fldChar w:fldCharType="begin"/>
        </w:r>
        <w:r>
          <w:instrText>PAGE   \* MERGEFORMAT</w:instrText>
        </w:r>
        <w:r>
          <w:fldChar w:fldCharType="separate"/>
        </w:r>
        <w:r w:rsidR="00F10944">
          <w:rPr>
            <w:noProof/>
          </w:rPr>
          <w:t>8</w:t>
        </w:r>
        <w:r>
          <w:fldChar w:fldCharType="end"/>
        </w:r>
      </w:p>
    </w:sdtContent>
  </w:sdt>
  <w:p w:rsidR="000042D8" w:rsidRDefault="000042D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E2" w:rsidRDefault="00E140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3F" w:rsidRDefault="009E543F" w:rsidP="0085002C">
      <w:r>
        <w:separator/>
      </w:r>
    </w:p>
  </w:footnote>
  <w:footnote w:type="continuationSeparator" w:id="0">
    <w:p w:rsidR="009E543F" w:rsidRDefault="009E543F" w:rsidP="0085002C">
      <w:r>
        <w:continuationSeparator/>
      </w:r>
    </w:p>
  </w:footnote>
  <w:footnote w:type="continuationNotice" w:id="1">
    <w:p w:rsidR="009E543F" w:rsidRDefault="009E54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E2" w:rsidRDefault="00E140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457633"/>
      <w:docPartObj>
        <w:docPartGallery w:val="Watermarks"/>
        <w:docPartUnique/>
      </w:docPartObj>
    </w:sdtPr>
    <w:sdtEndPr/>
    <w:sdtContent>
      <w:p w:rsidR="00E140E2" w:rsidRDefault="00F10944">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E2" w:rsidRDefault="00E140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71"/>
    <w:multiLevelType w:val="multilevel"/>
    <w:tmpl w:val="8598B4B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055521"/>
    <w:multiLevelType w:val="hybridMultilevel"/>
    <w:tmpl w:val="631E0120"/>
    <w:lvl w:ilvl="0" w:tplc="770C8042">
      <w:start w:val="1"/>
      <w:numFmt w:val="upperLetter"/>
      <w:pStyle w:val="ndice1"/>
      <w:lvlText w:val="%1."/>
      <w:lvlJc w:val="left"/>
      <w:pPr>
        <w:ind w:left="1494" w:hanging="360"/>
      </w:pPr>
      <w:rPr>
        <w:rFonts w:hint="default"/>
        <w:b/>
      </w:r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nsid w:val="0DB50B81"/>
    <w:multiLevelType w:val="hybridMultilevel"/>
    <w:tmpl w:val="96920A0E"/>
    <w:lvl w:ilvl="0" w:tplc="ECCCE70C">
      <w:start w:val="1"/>
      <w:numFmt w:val="upp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3F680B94">
      <w:start w:val="1"/>
      <w:numFmt w:val="decimal"/>
      <w:pStyle w:val="Ttulo2"/>
      <w:lvlText w:val="III.%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454B6B"/>
    <w:multiLevelType w:val="hybridMultilevel"/>
    <w:tmpl w:val="F864CF60"/>
    <w:lvl w:ilvl="0" w:tplc="26B09894">
      <w:start w:val="1"/>
      <w:numFmt w:val="bullet"/>
      <w:lvlText w:val="•"/>
      <w:lvlJc w:val="left"/>
      <w:pPr>
        <w:tabs>
          <w:tab w:val="num" w:pos="720"/>
        </w:tabs>
        <w:ind w:left="720" w:hanging="360"/>
      </w:pPr>
      <w:rPr>
        <w:rFonts w:ascii="Arial" w:hAnsi="Arial" w:hint="default"/>
      </w:rPr>
    </w:lvl>
    <w:lvl w:ilvl="1" w:tplc="073625C8" w:tentative="1">
      <w:start w:val="1"/>
      <w:numFmt w:val="bullet"/>
      <w:lvlText w:val="•"/>
      <w:lvlJc w:val="left"/>
      <w:pPr>
        <w:tabs>
          <w:tab w:val="num" w:pos="1440"/>
        </w:tabs>
        <w:ind w:left="1440" w:hanging="360"/>
      </w:pPr>
      <w:rPr>
        <w:rFonts w:ascii="Arial" w:hAnsi="Arial" w:hint="default"/>
      </w:rPr>
    </w:lvl>
    <w:lvl w:ilvl="2" w:tplc="E8E8BF00" w:tentative="1">
      <w:start w:val="1"/>
      <w:numFmt w:val="bullet"/>
      <w:lvlText w:val="•"/>
      <w:lvlJc w:val="left"/>
      <w:pPr>
        <w:tabs>
          <w:tab w:val="num" w:pos="2160"/>
        </w:tabs>
        <w:ind w:left="2160" w:hanging="360"/>
      </w:pPr>
      <w:rPr>
        <w:rFonts w:ascii="Arial" w:hAnsi="Arial" w:hint="default"/>
      </w:rPr>
    </w:lvl>
    <w:lvl w:ilvl="3" w:tplc="FE00F820" w:tentative="1">
      <w:start w:val="1"/>
      <w:numFmt w:val="bullet"/>
      <w:lvlText w:val="•"/>
      <w:lvlJc w:val="left"/>
      <w:pPr>
        <w:tabs>
          <w:tab w:val="num" w:pos="2880"/>
        </w:tabs>
        <w:ind w:left="2880" w:hanging="360"/>
      </w:pPr>
      <w:rPr>
        <w:rFonts w:ascii="Arial" w:hAnsi="Arial" w:hint="default"/>
      </w:rPr>
    </w:lvl>
    <w:lvl w:ilvl="4" w:tplc="80C6D4A4" w:tentative="1">
      <w:start w:val="1"/>
      <w:numFmt w:val="bullet"/>
      <w:lvlText w:val="•"/>
      <w:lvlJc w:val="left"/>
      <w:pPr>
        <w:tabs>
          <w:tab w:val="num" w:pos="3600"/>
        </w:tabs>
        <w:ind w:left="3600" w:hanging="360"/>
      </w:pPr>
      <w:rPr>
        <w:rFonts w:ascii="Arial" w:hAnsi="Arial" w:hint="default"/>
      </w:rPr>
    </w:lvl>
    <w:lvl w:ilvl="5" w:tplc="4CC69CE8" w:tentative="1">
      <w:start w:val="1"/>
      <w:numFmt w:val="bullet"/>
      <w:lvlText w:val="•"/>
      <w:lvlJc w:val="left"/>
      <w:pPr>
        <w:tabs>
          <w:tab w:val="num" w:pos="4320"/>
        </w:tabs>
        <w:ind w:left="4320" w:hanging="360"/>
      </w:pPr>
      <w:rPr>
        <w:rFonts w:ascii="Arial" w:hAnsi="Arial" w:hint="default"/>
      </w:rPr>
    </w:lvl>
    <w:lvl w:ilvl="6" w:tplc="F70ADD46" w:tentative="1">
      <w:start w:val="1"/>
      <w:numFmt w:val="bullet"/>
      <w:lvlText w:val="•"/>
      <w:lvlJc w:val="left"/>
      <w:pPr>
        <w:tabs>
          <w:tab w:val="num" w:pos="5040"/>
        </w:tabs>
        <w:ind w:left="5040" w:hanging="360"/>
      </w:pPr>
      <w:rPr>
        <w:rFonts w:ascii="Arial" w:hAnsi="Arial" w:hint="default"/>
      </w:rPr>
    </w:lvl>
    <w:lvl w:ilvl="7" w:tplc="65ACD38E" w:tentative="1">
      <w:start w:val="1"/>
      <w:numFmt w:val="bullet"/>
      <w:lvlText w:val="•"/>
      <w:lvlJc w:val="left"/>
      <w:pPr>
        <w:tabs>
          <w:tab w:val="num" w:pos="5760"/>
        </w:tabs>
        <w:ind w:left="5760" w:hanging="360"/>
      </w:pPr>
      <w:rPr>
        <w:rFonts w:ascii="Arial" w:hAnsi="Arial" w:hint="default"/>
      </w:rPr>
    </w:lvl>
    <w:lvl w:ilvl="8" w:tplc="897C03D8" w:tentative="1">
      <w:start w:val="1"/>
      <w:numFmt w:val="bullet"/>
      <w:lvlText w:val="•"/>
      <w:lvlJc w:val="left"/>
      <w:pPr>
        <w:tabs>
          <w:tab w:val="num" w:pos="6480"/>
        </w:tabs>
        <w:ind w:left="6480" w:hanging="360"/>
      </w:pPr>
      <w:rPr>
        <w:rFonts w:ascii="Arial" w:hAnsi="Arial" w:hint="default"/>
      </w:rPr>
    </w:lvl>
  </w:abstractNum>
  <w:abstractNum w:abstractNumId="4">
    <w:nsid w:val="226C49A1"/>
    <w:multiLevelType w:val="multilevel"/>
    <w:tmpl w:val="BF0CE5B6"/>
    <w:lvl w:ilvl="0">
      <w:start w:val="1"/>
      <w:numFmt w:val="upperRoman"/>
      <w:pStyle w:val="Ttulo1"/>
      <w:lvlText w:val="%1."/>
      <w:lvlJc w:val="left"/>
      <w:pPr>
        <w:ind w:left="432" w:hanging="432"/>
      </w:pPr>
      <w:rPr>
        <w:rFonts w:hint="default"/>
        <w:b/>
        <w:bCs w:val="0"/>
        <w:i w:val="0"/>
        <w:iCs w:val="0"/>
        <w:caps w:val="0"/>
        <w:smallCaps w:val="0"/>
        <w:strike w:val="0"/>
        <w:dstrike w:val="0"/>
        <w:vanish w:val="0"/>
        <w:spacing w:val="0"/>
        <w:kern w:val="0"/>
        <w:position w:val="0"/>
        <w:u w:val="none"/>
        <w:effect w:val="none"/>
        <w:vertAlign w:val="baseline"/>
        <w:em w:val="none"/>
      </w:rPr>
    </w:lvl>
    <w:lvl w:ilvl="1">
      <w:start w:val="1"/>
      <w:numFmt w:val="decimal"/>
      <w:lvlText w:val="%2."/>
      <w:lvlJc w:val="left"/>
      <w:pPr>
        <w:ind w:left="576" w:hanging="576"/>
      </w:pPr>
      <w:rPr>
        <w:rFonts w:ascii="Arial" w:hAnsi="Arial" w:hint="default"/>
        <w:b w:val="0"/>
        <w:bCs w:val="0"/>
        <w:i w:val="0"/>
        <w:iCs w:val="0"/>
        <w:caps w:val="0"/>
        <w:smallCaps w:val="0"/>
        <w:strike w:val="0"/>
        <w:dstrike w:val="0"/>
        <w:vanish w:val="0"/>
        <w:spacing w:val="0"/>
        <w:kern w:val="0"/>
        <w:position w:val="0"/>
        <w:sz w:val="22"/>
        <w:u w:val="none"/>
        <w:effect w:val="none"/>
        <w:vertAlign w:val="baseline"/>
        <w:em w:val="none"/>
      </w:rPr>
    </w:lvl>
    <w:lvl w:ilvl="2">
      <w:start w:val="1"/>
      <w:numFmt w:val="decimal"/>
      <w:lvlText w:val="%1.%2.%3"/>
      <w:lvlJc w:val="left"/>
      <w:pPr>
        <w:ind w:left="720" w:hanging="720"/>
      </w:pPr>
      <w:rPr>
        <w:rFonts w:cs="Times New Roman" w:hint="default"/>
        <w:b/>
        <w:bCs w:val="0"/>
        <w:i w:val="0"/>
        <w:iCs w:val="0"/>
        <w:caps w:val="0"/>
        <w:smallCaps w:val="0"/>
        <w:strike w:val="0"/>
        <w:dstrike w:val="0"/>
        <w:vanish w:val="0"/>
        <w:spacing w:val="0"/>
        <w:kern w:val="0"/>
        <w:position w:val="0"/>
        <w:u w:val="none"/>
        <w:effect w:val="none"/>
        <w:vertAlign w:val="baseline"/>
        <w:em w:val="none"/>
      </w:rPr>
    </w:lvl>
    <w:lvl w:ilvl="3">
      <w:start w:val="1"/>
      <w:numFmt w:val="lowerLetter"/>
      <w:pStyle w:val="Ttulo4"/>
      <w:lvlText w:val="%4."/>
      <w:lvlJc w:val="left"/>
      <w:pPr>
        <w:ind w:left="864" w:hanging="864"/>
      </w:pPr>
      <w:rPr>
        <w:rFonts w:hint="default"/>
        <w:b w:val="0"/>
        <w:i w:val="0"/>
        <w:iCs w:val="0"/>
        <w:caps w:val="0"/>
        <w:smallCaps w:val="0"/>
        <w:strike w:val="0"/>
        <w:dstrike w:val="0"/>
        <w:vanish w:val="0"/>
        <w:spacing w:val="0"/>
        <w:kern w:val="0"/>
        <w:position w:val="0"/>
        <w:u w:val="none"/>
        <w:effect w:val="none"/>
        <w:vertAlign w:val="baseline"/>
        <w:em w:val="none"/>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nsid w:val="260E14D3"/>
    <w:multiLevelType w:val="hybridMultilevel"/>
    <w:tmpl w:val="0C7662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52460B4C"/>
    <w:multiLevelType w:val="hybridMultilevel"/>
    <w:tmpl w:val="C43CCA34"/>
    <w:lvl w:ilvl="0" w:tplc="5B66CE62">
      <w:start w:val="1"/>
      <w:numFmt w:val="decimal"/>
      <w:lvlText w:val="II.%1."/>
      <w:lvlJc w:val="left"/>
      <w:pPr>
        <w:ind w:left="1800" w:hanging="360"/>
      </w:pPr>
      <w:rPr>
        <w:rFonts w:hint="default"/>
        <w:b/>
      </w:r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7">
    <w:nsid w:val="5BB9250C"/>
    <w:multiLevelType w:val="hybridMultilevel"/>
    <w:tmpl w:val="1A8E10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76438B6"/>
    <w:multiLevelType w:val="hybridMultilevel"/>
    <w:tmpl w:val="0F404F70"/>
    <w:lvl w:ilvl="0" w:tplc="4CE8BB7C">
      <w:start w:val="1"/>
      <w:numFmt w:val="lowerRoman"/>
      <w:lvlText w:val="%1."/>
      <w:lvlJc w:val="left"/>
      <w:pPr>
        <w:ind w:left="1146" w:hanging="360"/>
      </w:pPr>
      <w:rPr>
        <w:rFonts w:hint="default"/>
        <w:b/>
      </w:r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9">
    <w:nsid w:val="688D3832"/>
    <w:multiLevelType w:val="hybridMultilevel"/>
    <w:tmpl w:val="A6AC9FE8"/>
    <w:lvl w:ilvl="0" w:tplc="7CFC4CC6">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nsid w:val="6F195EF5"/>
    <w:multiLevelType w:val="hybridMultilevel"/>
    <w:tmpl w:val="C43CCA34"/>
    <w:lvl w:ilvl="0" w:tplc="5B66CE62">
      <w:start w:val="1"/>
      <w:numFmt w:val="decimal"/>
      <w:lvlText w:val="II.%1."/>
      <w:lvlJc w:val="left"/>
      <w:pPr>
        <w:ind w:left="1800" w:hanging="360"/>
      </w:pPr>
      <w:rPr>
        <w:rFonts w:hint="default"/>
        <w:b/>
      </w:r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num w:numId="1">
    <w:abstractNumId w:val="4"/>
  </w:num>
  <w:num w:numId="2">
    <w:abstractNumId w:val="2"/>
  </w:num>
  <w:num w:numId="3">
    <w:abstractNumId w:val="8"/>
  </w:num>
  <w:num w:numId="4">
    <w:abstractNumId w:val="3"/>
  </w:num>
  <w:num w:numId="5">
    <w:abstractNumId w:val="4"/>
  </w:num>
  <w:num w:numId="6">
    <w:abstractNumId w:val="10"/>
  </w:num>
  <w:num w:numId="7">
    <w:abstractNumId w:val="6"/>
  </w:num>
  <w:num w:numId="8">
    <w:abstractNumId w:val="2"/>
  </w:num>
  <w:num w:numId="9">
    <w:abstractNumId w:val="2"/>
  </w:num>
  <w:num w:numId="10">
    <w:abstractNumId w:val="1"/>
  </w:num>
  <w:num w:numId="11">
    <w:abstractNumId w:val="9"/>
  </w:num>
  <w:num w:numId="12">
    <w:abstractNumId w:val="4"/>
  </w:num>
  <w:num w:numId="13">
    <w:abstractNumId w:val="4"/>
  </w:num>
  <w:num w:numId="14">
    <w:abstractNumId w:val="7"/>
  </w:num>
  <w:num w:numId="15">
    <w:abstractNumId w:val="0"/>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8B9"/>
    <w:rsid w:val="00000E56"/>
    <w:rsid w:val="000042D8"/>
    <w:rsid w:val="000060DC"/>
    <w:rsid w:val="0004793C"/>
    <w:rsid w:val="00086577"/>
    <w:rsid w:val="00090351"/>
    <w:rsid w:val="00095AC3"/>
    <w:rsid w:val="000A2ACA"/>
    <w:rsid w:val="000A67B1"/>
    <w:rsid w:val="000D548B"/>
    <w:rsid w:val="000F4E5E"/>
    <w:rsid w:val="000F56D1"/>
    <w:rsid w:val="00120BA3"/>
    <w:rsid w:val="001342DA"/>
    <w:rsid w:val="00147A91"/>
    <w:rsid w:val="00170722"/>
    <w:rsid w:val="001B3BCB"/>
    <w:rsid w:val="001F2B0A"/>
    <w:rsid w:val="002059B2"/>
    <w:rsid w:val="00207194"/>
    <w:rsid w:val="00255A5D"/>
    <w:rsid w:val="00271495"/>
    <w:rsid w:val="00271C2C"/>
    <w:rsid w:val="002E00D9"/>
    <w:rsid w:val="002F7165"/>
    <w:rsid w:val="00301279"/>
    <w:rsid w:val="00337B2D"/>
    <w:rsid w:val="003829FD"/>
    <w:rsid w:val="003A38F9"/>
    <w:rsid w:val="003C0BD4"/>
    <w:rsid w:val="003D43DF"/>
    <w:rsid w:val="003D7669"/>
    <w:rsid w:val="0040120B"/>
    <w:rsid w:val="00407ABC"/>
    <w:rsid w:val="0042696A"/>
    <w:rsid w:val="004274AF"/>
    <w:rsid w:val="00430A99"/>
    <w:rsid w:val="00437D43"/>
    <w:rsid w:val="004430F2"/>
    <w:rsid w:val="00470599"/>
    <w:rsid w:val="00472202"/>
    <w:rsid w:val="00483554"/>
    <w:rsid w:val="0049621F"/>
    <w:rsid w:val="004A547C"/>
    <w:rsid w:val="004E38B9"/>
    <w:rsid w:val="005037AA"/>
    <w:rsid w:val="00507272"/>
    <w:rsid w:val="00516C3C"/>
    <w:rsid w:val="00523DD2"/>
    <w:rsid w:val="0054776C"/>
    <w:rsid w:val="00563834"/>
    <w:rsid w:val="0057172C"/>
    <w:rsid w:val="005A28FE"/>
    <w:rsid w:val="005B21C4"/>
    <w:rsid w:val="005B2FBD"/>
    <w:rsid w:val="005B5FEA"/>
    <w:rsid w:val="005C54D3"/>
    <w:rsid w:val="005F645E"/>
    <w:rsid w:val="005F7AFC"/>
    <w:rsid w:val="00606141"/>
    <w:rsid w:val="006323DC"/>
    <w:rsid w:val="00653CF2"/>
    <w:rsid w:val="00693592"/>
    <w:rsid w:val="006A5E12"/>
    <w:rsid w:val="006B0703"/>
    <w:rsid w:val="006C3274"/>
    <w:rsid w:val="006D73BD"/>
    <w:rsid w:val="0071151A"/>
    <w:rsid w:val="007145F8"/>
    <w:rsid w:val="0072061D"/>
    <w:rsid w:val="007632F2"/>
    <w:rsid w:val="00765168"/>
    <w:rsid w:val="0078229E"/>
    <w:rsid w:val="007A1757"/>
    <w:rsid w:val="007C3868"/>
    <w:rsid w:val="007C4524"/>
    <w:rsid w:val="00802389"/>
    <w:rsid w:val="00816D74"/>
    <w:rsid w:val="0084028B"/>
    <w:rsid w:val="0085002C"/>
    <w:rsid w:val="00854840"/>
    <w:rsid w:val="0085485F"/>
    <w:rsid w:val="00881D28"/>
    <w:rsid w:val="008D1739"/>
    <w:rsid w:val="008D4562"/>
    <w:rsid w:val="008D4A20"/>
    <w:rsid w:val="008D6098"/>
    <w:rsid w:val="0090638C"/>
    <w:rsid w:val="0098367A"/>
    <w:rsid w:val="00987C65"/>
    <w:rsid w:val="009E543F"/>
    <w:rsid w:val="009E60A7"/>
    <w:rsid w:val="00A411BC"/>
    <w:rsid w:val="00A905EB"/>
    <w:rsid w:val="00A91D8B"/>
    <w:rsid w:val="00A95316"/>
    <w:rsid w:val="00AB34F3"/>
    <w:rsid w:val="00AE10FB"/>
    <w:rsid w:val="00AE270C"/>
    <w:rsid w:val="00AF06D2"/>
    <w:rsid w:val="00B11789"/>
    <w:rsid w:val="00B133DC"/>
    <w:rsid w:val="00B437D9"/>
    <w:rsid w:val="00B52D97"/>
    <w:rsid w:val="00B900B1"/>
    <w:rsid w:val="00BA723A"/>
    <w:rsid w:val="00BC06A6"/>
    <w:rsid w:val="00C06680"/>
    <w:rsid w:val="00C175D1"/>
    <w:rsid w:val="00C17A5E"/>
    <w:rsid w:val="00C22D7D"/>
    <w:rsid w:val="00C45FD3"/>
    <w:rsid w:val="00C876B0"/>
    <w:rsid w:val="00CC4457"/>
    <w:rsid w:val="00D20719"/>
    <w:rsid w:val="00D61F5A"/>
    <w:rsid w:val="00D64BCD"/>
    <w:rsid w:val="00D81EE0"/>
    <w:rsid w:val="00DA7532"/>
    <w:rsid w:val="00DD2672"/>
    <w:rsid w:val="00DE2C5A"/>
    <w:rsid w:val="00DF5D65"/>
    <w:rsid w:val="00DF6580"/>
    <w:rsid w:val="00E140E2"/>
    <w:rsid w:val="00E20A2B"/>
    <w:rsid w:val="00E25B73"/>
    <w:rsid w:val="00E47757"/>
    <w:rsid w:val="00E74FC0"/>
    <w:rsid w:val="00EB100D"/>
    <w:rsid w:val="00EE31DB"/>
    <w:rsid w:val="00EF7526"/>
    <w:rsid w:val="00F10944"/>
    <w:rsid w:val="00F11533"/>
    <w:rsid w:val="00F41522"/>
    <w:rsid w:val="00F55CAB"/>
    <w:rsid w:val="00F81D16"/>
    <w:rsid w:val="00F96E84"/>
    <w:rsid w:val="00FC0250"/>
    <w:rsid w:val="00FE5685"/>
    <w:rsid w:val="00FF34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165"/>
    <w:pPr>
      <w:spacing w:after="0" w:line="240" w:lineRule="auto"/>
    </w:pPr>
    <w:rPr>
      <w:rFonts w:ascii="Arial" w:eastAsia="Times New Roman" w:hAnsi="Arial" w:cs="Times New Roman"/>
      <w:szCs w:val="24"/>
      <w:lang w:val="es-ES" w:eastAsia="es-ES"/>
    </w:rPr>
  </w:style>
  <w:style w:type="paragraph" w:styleId="Ttulo1">
    <w:name w:val="heading 1"/>
    <w:basedOn w:val="Normal"/>
    <w:next w:val="Normal"/>
    <w:link w:val="Ttulo1Car"/>
    <w:qFormat/>
    <w:rsid w:val="002F7165"/>
    <w:pPr>
      <w:keepNext/>
      <w:numPr>
        <w:numId w:val="1"/>
      </w:numPr>
      <w:jc w:val="both"/>
      <w:outlineLvl w:val="0"/>
    </w:pPr>
    <w:rPr>
      <w:b/>
      <w:bCs/>
      <w:lang w:val="es-MX"/>
    </w:rPr>
  </w:style>
  <w:style w:type="paragraph" w:styleId="Ttulo2">
    <w:name w:val="heading 2"/>
    <w:basedOn w:val="Ttulo1"/>
    <w:next w:val="Normal"/>
    <w:link w:val="Ttulo2Car"/>
    <w:uiPriority w:val="9"/>
    <w:unhideWhenUsed/>
    <w:qFormat/>
    <w:rsid w:val="007C3868"/>
    <w:pPr>
      <w:numPr>
        <w:ilvl w:val="3"/>
        <w:numId w:val="2"/>
      </w:numPr>
      <w:outlineLvl w:val="1"/>
    </w:pPr>
    <w:rPr>
      <w:lang w:val="es-ES"/>
    </w:rPr>
  </w:style>
  <w:style w:type="paragraph" w:styleId="Ttulo3">
    <w:name w:val="heading 3"/>
    <w:basedOn w:val="Normal"/>
    <w:next w:val="Normal"/>
    <w:link w:val="Ttulo3Car"/>
    <w:uiPriority w:val="9"/>
    <w:semiHidden/>
    <w:unhideWhenUsed/>
    <w:qFormat/>
    <w:rsid w:val="006D73B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2F7165"/>
    <w:pPr>
      <w:keepNext/>
      <w:numPr>
        <w:ilvl w:val="3"/>
        <w:numId w:val="1"/>
      </w:numPr>
      <w:jc w:val="center"/>
      <w:outlineLvl w:val="3"/>
    </w:pPr>
    <w:rPr>
      <w:rFonts w:cs="Arial"/>
      <w:b/>
      <w:bCs/>
      <w:sz w:val="20"/>
      <w:szCs w:val="20"/>
    </w:rPr>
  </w:style>
  <w:style w:type="paragraph" w:styleId="Ttulo5">
    <w:name w:val="heading 5"/>
    <w:basedOn w:val="Normal"/>
    <w:next w:val="Normal"/>
    <w:link w:val="Ttulo5Car"/>
    <w:qFormat/>
    <w:rsid w:val="002F7165"/>
    <w:pPr>
      <w:keepNext/>
      <w:numPr>
        <w:ilvl w:val="4"/>
        <w:numId w:val="1"/>
      </w:numPr>
      <w:outlineLvl w:val="4"/>
    </w:pPr>
    <w:rPr>
      <w:b/>
      <w:bCs/>
      <w:color w:val="000000"/>
      <w:sz w:val="16"/>
      <w:szCs w:val="16"/>
      <w:lang w:val="en-US"/>
    </w:rPr>
  </w:style>
  <w:style w:type="paragraph" w:styleId="Ttulo6">
    <w:name w:val="heading 6"/>
    <w:basedOn w:val="Normal"/>
    <w:next w:val="Normal"/>
    <w:link w:val="Ttulo6Car"/>
    <w:qFormat/>
    <w:rsid w:val="002F7165"/>
    <w:pPr>
      <w:keepNext/>
      <w:numPr>
        <w:ilvl w:val="5"/>
        <w:numId w:val="1"/>
      </w:numPr>
      <w:outlineLvl w:val="5"/>
    </w:pPr>
    <w:rPr>
      <w:b/>
      <w:bCs/>
      <w:sz w:val="20"/>
      <w:szCs w:val="20"/>
      <w:lang w:val="en-US"/>
    </w:rPr>
  </w:style>
  <w:style w:type="paragraph" w:styleId="Ttulo7">
    <w:name w:val="heading 7"/>
    <w:basedOn w:val="Normal"/>
    <w:next w:val="Normal"/>
    <w:link w:val="Ttulo7Car"/>
    <w:qFormat/>
    <w:rsid w:val="002F7165"/>
    <w:pPr>
      <w:keepNext/>
      <w:numPr>
        <w:ilvl w:val="6"/>
        <w:numId w:val="1"/>
      </w:numPr>
      <w:outlineLvl w:val="6"/>
    </w:pPr>
    <w:rPr>
      <w:b/>
      <w:bCs/>
      <w:szCs w:val="20"/>
    </w:rPr>
  </w:style>
  <w:style w:type="paragraph" w:styleId="Ttulo8">
    <w:name w:val="heading 8"/>
    <w:basedOn w:val="Normal"/>
    <w:next w:val="Normal"/>
    <w:link w:val="Ttulo8Car"/>
    <w:qFormat/>
    <w:rsid w:val="002F7165"/>
    <w:pPr>
      <w:keepNext/>
      <w:numPr>
        <w:ilvl w:val="7"/>
        <w:numId w:val="1"/>
      </w:numPr>
      <w:tabs>
        <w:tab w:val="left" w:pos="480"/>
      </w:tabs>
      <w:ind w:right="79"/>
      <w:jc w:val="both"/>
      <w:outlineLvl w:val="7"/>
    </w:pPr>
    <w:rPr>
      <w:i/>
      <w:iCs/>
      <w:sz w:val="18"/>
      <w:lang w:val="es-MX"/>
    </w:rPr>
  </w:style>
  <w:style w:type="paragraph" w:styleId="Ttulo9">
    <w:name w:val="heading 9"/>
    <w:basedOn w:val="Normal"/>
    <w:next w:val="Normal"/>
    <w:link w:val="Ttulo9Car"/>
    <w:qFormat/>
    <w:rsid w:val="002F7165"/>
    <w:pPr>
      <w:keepNext/>
      <w:numPr>
        <w:ilvl w:val="8"/>
        <w:numId w:val="1"/>
      </w:numPr>
      <w:jc w:val="center"/>
      <w:outlineLvl w:val="8"/>
    </w:pPr>
    <w:rPr>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F7165"/>
    <w:rPr>
      <w:rFonts w:ascii="Arial" w:eastAsia="Times New Roman" w:hAnsi="Arial" w:cs="Times New Roman"/>
      <w:b/>
      <w:bCs/>
      <w:szCs w:val="24"/>
      <w:lang w:val="es-MX" w:eastAsia="es-ES"/>
    </w:rPr>
  </w:style>
  <w:style w:type="character" w:customStyle="1" w:styleId="Ttulo4Car">
    <w:name w:val="Título 4 Car"/>
    <w:basedOn w:val="Fuentedeprrafopredeter"/>
    <w:link w:val="Ttulo4"/>
    <w:rsid w:val="002F7165"/>
    <w:rPr>
      <w:rFonts w:ascii="Arial" w:eastAsia="Times New Roman" w:hAnsi="Arial" w:cs="Arial"/>
      <w:b/>
      <w:bCs/>
      <w:sz w:val="20"/>
      <w:szCs w:val="20"/>
      <w:lang w:val="es-ES" w:eastAsia="es-ES"/>
    </w:rPr>
  </w:style>
  <w:style w:type="character" w:customStyle="1" w:styleId="Ttulo5Car">
    <w:name w:val="Título 5 Car"/>
    <w:basedOn w:val="Fuentedeprrafopredeter"/>
    <w:link w:val="Ttulo5"/>
    <w:rsid w:val="002F7165"/>
    <w:rPr>
      <w:rFonts w:ascii="Arial" w:eastAsia="Times New Roman" w:hAnsi="Arial" w:cs="Times New Roman"/>
      <w:b/>
      <w:bCs/>
      <w:color w:val="000000"/>
      <w:sz w:val="16"/>
      <w:szCs w:val="16"/>
      <w:lang w:val="en-US" w:eastAsia="es-ES"/>
    </w:rPr>
  </w:style>
  <w:style w:type="character" w:customStyle="1" w:styleId="Ttulo6Car">
    <w:name w:val="Título 6 Car"/>
    <w:basedOn w:val="Fuentedeprrafopredeter"/>
    <w:link w:val="Ttulo6"/>
    <w:rsid w:val="002F7165"/>
    <w:rPr>
      <w:rFonts w:ascii="Arial" w:eastAsia="Times New Roman" w:hAnsi="Arial" w:cs="Times New Roman"/>
      <w:b/>
      <w:bCs/>
      <w:sz w:val="20"/>
      <w:szCs w:val="20"/>
      <w:lang w:val="en-US" w:eastAsia="es-ES"/>
    </w:rPr>
  </w:style>
  <w:style w:type="character" w:customStyle="1" w:styleId="Ttulo7Car">
    <w:name w:val="Título 7 Car"/>
    <w:basedOn w:val="Fuentedeprrafopredeter"/>
    <w:link w:val="Ttulo7"/>
    <w:rsid w:val="002F7165"/>
    <w:rPr>
      <w:rFonts w:ascii="Arial" w:eastAsia="Times New Roman" w:hAnsi="Arial" w:cs="Times New Roman"/>
      <w:b/>
      <w:bCs/>
      <w:szCs w:val="20"/>
      <w:lang w:val="es-ES" w:eastAsia="es-ES"/>
    </w:rPr>
  </w:style>
  <w:style w:type="character" w:customStyle="1" w:styleId="Ttulo8Car">
    <w:name w:val="Título 8 Car"/>
    <w:basedOn w:val="Fuentedeprrafopredeter"/>
    <w:link w:val="Ttulo8"/>
    <w:rsid w:val="002F7165"/>
    <w:rPr>
      <w:rFonts w:ascii="Arial" w:eastAsia="Times New Roman" w:hAnsi="Arial" w:cs="Times New Roman"/>
      <w:i/>
      <w:iCs/>
      <w:sz w:val="18"/>
      <w:szCs w:val="24"/>
      <w:lang w:val="es-MX" w:eastAsia="es-ES"/>
    </w:rPr>
  </w:style>
  <w:style w:type="character" w:customStyle="1" w:styleId="Ttulo9Car">
    <w:name w:val="Título 9 Car"/>
    <w:basedOn w:val="Fuentedeprrafopredeter"/>
    <w:link w:val="Ttulo9"/>
    <w:rsid w:val="002F7165"/>
    <w:rPr>
      <w:rFonts w:ascii="Arial" w:eastAsia="Times New Roman" w:hAnsi="Arial" w:cs="Times New Roman"/>
      <w:b/>
      <w:bCs/>
      <w:szCs w:val="20"/>
      <w:lang w:val="es-ES" w:eastAsia="es-ES"/>
    </w:rPr>
  </w:style>
  <w:style w:type="paragraph" w:styleId="Textoindependiente">
    <w:name w:val="Body Text"/>
    <w:basedOn w:val="Normal"/>
    <w:link w:val="TextoindependienteCar"/>
    <w:uiPriority w:val="99"/>
    <w:semiHidden/>
    <w:rsid w:val="002F7165"/>
    <w:pPr>
      <w:jc w:val="both"/>
    </w:pPr>
    <w:rPr>
      <w:lang w:val="es-MX"/>
    </w:rPr>
  </w:style>
  <w:style w:type="character" w:customStyle="1" w:styleId="TextoindependienteCar">
    <w:name w:val="Texto independiente Car"/>
    <w:basedOn w:val="Fuentedeprrafopredeter"/>
    <w:link w:val="Textoindependiente"/>
    <w:uiPriority w:val="99"/>
    <w:semiHidden/>
    <w:rsid w:val="002F7165"/>
    <w:rPr>
      <w:rFonts w:ascii="Arial" w:eastAsia="Times New Roman" w:hAnsi="Arial" w:cs="Times New Roman"/>
      <w:szCs w:val="24"/>
      <w:lang w:val="es-MX" w:eastAsia="es-ES"/>
    </w:rPr>
  </w:style>
  <w:style w:type="paragraph" w:styleId="TDC1">
    <w:name w:val="toc 1"/>
    <w:basedOn w:val="Normal"/>
    <w:next w:val="Normal"/>
    <w:autoRedefine/>
    <w:uiPriority w:val="39"/>
    <w:rsid w:val="00E47757"/>
    <w:pPr>
      <w:tabs>
        <w:tab w:val="left" w:pos="852"/>
        <w:tab w:val="right" w:leader="dot" w:pos="9396"/>
      </w:tabs>
      <w:spacing w:line="360" w:lineRule="auto"/>
      <w:ind w:left="851" w:right="-91" w:hanging="850"/>
      <w:jc w:val="both"/>
    </w:pPr>
    <w:rPr>
      <w:b/>
      <w:bCs/>
      <w:noProof/>
    </w:rPr>
  </w:style>
  <w:style w:type="paragraph" w:styleId="TDC2">
    <w:name w:val="toc 2"/>
    <w:basedOn w:val="Normal"/>
    <w:next w:val="Normal"/>
    <w:autoRedefine/>
    <w:uiPriority w:val="39"/>
    <w:rsid w:val="00B52D97"/>
    <w:pPr>
      <w:tabs>
        <w:tab w:val="left" w:pos="426"/>
        <w:tab w:val="left" w:pos="1440"/>
        <w:tab w:val="right" w:leader="dot" w:pos="9396"/>
      </w:tabs>
      <w:spacing w:line="480" w:lineRule="auto"/>
      <w:ind w:left="851"/>
    </w:pPr>
    <w:rPr>
      <w:noProof/>
    </w:rPr>
  </w:style>
  <w:style w:type="paragraph" w:styleId="TDC3">
    <w:name w:val="toc 3"/>
    <w:basedOn w:val="Normal"/>
    <w:next w:val="Normal"/>
    <w:autoRedefine/>
    <w:uiPriority w:val="39"/>
    <w:rsid w:val="002F7165"/>
    <w:pPr>
      <w:tabs>
        <w:tab w:val="left" w:pos="1701"/>
        <w:tab w:val="right" w:leader="dot" w:pos="9394"/>
      </w:tabs>
      <w:spacing w:line="360" w:lineRule="auto"/>
      <w:ind w:left="1418" w:hanging="709"/>
      <w:jc w:val="both"/>
    </w:pPr>
  </w:style>
  <w:style w:type="character" w:styleId="Hipervnculo">
    <w:name w:val="Hyperlink"/>
    <w:basedOn w:val="Fuentedeprrafopredeter"/>
    <w:uiPriority w:val="99"/>
    <w:rsid w:val="002F7165"/>
    <w:rPr>
      <w:color w:val="0000FF"/>
      <w:u w:val="single"/>
    </w:rPr>
  </w:style>
  <w:style w:type="paragraph" w:styleId="Prrafodelista">
    <w:name w:val="List Paragraph"/>
    <w:basedOn w:val="Normal"/>
    <w:uiPriority w:val="34"/>
    <w:qFormat/>
    <w:rsid w:val="00B11789"/>
    <w:pPr>
      <w:ind w:left="720"/>
      <w:contextualSpacing/>
    </w:pPr>
  </w:style>
  <w:style w:type="paragraph" w:styleId="Encabezado">
    <w:name w:val="header"/>
    <w:basedOn w:val="Normal"/>
    <w:link w:val="EncabezadoCar"/>
    <w:unhideWhenUsed/>
    <w:rsid w:val="0085002C"/>
    <w:pPr>
      <w:tabs>
        <w:tab w:val="center" w:pos="4419"/>
        <w:tab w:val="right" w:pos="8838"/>
      </w:tabs>
    </w:pPr>
  </w:style>
  <w:style w:type="character" w:customStyle="1" w:styleId="EncabezadoCar">
    <w:name w:val="Encabezado Car"/>
    <w:basedOn w:val="Fuentedeprrafopredeter"/>
    <w:link w:val="Encabezado"/>
    <w:uiPriority w:val="99"/>
    <w:rsid w:val="0085002C"/>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85002C"/>
    <w:pPr>
      <w:tabs>
        <w:tab w:val="center" w:pos="4419"/>
        <w:tab w:val="right" w:pos="8838"/>
      </w:tabs>
    </w:pPr>
  </w:style>
  <w:style w:type="character" w:customStyle="1" w:styleId="PiedepginaCar">
    <w:name w:val="Pie de página Car"/>
    <w:basedOn w:val="Fuentedeprrafopredeter"/>
    <w:link w:val="Piedepgina"/>
    <w:uiPriority w:val="99"/>
    <w:rsid w:val="0085002C"/>
    <w:rPr>
      <w:rFonts w:ascii="Arial" w:eastAsia="Times New Roman" w:hAnsi="Arial" w:cs="Times New Roman"/>
      <w:szCs w:val="24"/>
      <w:lang w:val="es-ES" w:eastAsia="es-ES"/>
    </w:rPr>
  </w:style>
  <w:style w:type="paragraph" w:styleId="NormalWeb">
    <w:name w:val="Normal (Web)"/>
    <w:basedOn w:val="Normal"/>
    <w:uiPriority w:val="99"/>
    <w:semiHidden/>
    <w:unhideWhenUsed/>
    <w:rsid w:val="0071151A"/>
    <w:pPr>
      <w:spacing w:before="100" w:beforeAutospacing="1" w:after="100" w:afterAutospacing="1"/>
    </w:pPr>
    <w:rPr>
      <w:rFonts w:ascii="Times New Roman" w:hAnsi="Times New Roman"/>
      <w:sz w:val="24"/>
      <w:lang w:val="es-CL" w:eastAsia="es-CL"/>
    </w:rPr>
  </w:style>
  <w:style w:type="character" w:customStyle="1" w:styleId="Ttulo2Car">
    <w:name w:val="Título 2 Car"/>
    <w:basedOn w:val="Fuentedeprrafopredeter"/>
    <w:link w:val="Ttulo2"/>
    <w:uiPriority w:val="9"/>
    <w:rsid w:val="007C3868"/>
    <w:rPr>
      <w:rFonts w:ascii="Arial" w:eastAsia="Times New Roman" w:hAnsi="Arial" w:cs="Times New Roman"/>
      <w:b/>
      <w:bCs/>
      <w:szCs w:val="24"/>
      <w:lang w:val="es-ES" w:eastAsia="es-ES"/>
    </w:rPr>
  </w:style>
  <w:style w:type="character" w:customStyle="1" w:styleId="Ttulo3Car">
    <w:name w:val="Título 3 Car"/>
    <w:basedOn w:val="Fuentedeprrafopredeter"/>
    <w:link w:val="Ttulo3"/>
    <w:uiPriority w:val="9"/>
    <w:semiHidden/>
    <w:rsid w:val="006D73BD"/>
    <w:rPr>
      <w:rFonts w:asciiTheme="majorHAnsi" w:eastAsiaTheme="majorEastAsia" w:hAnsiTheme="majorHAnsi" w:cstheme="majorBidi"/>
      <w:b/>
      <w:bCs/>
      <w:color w:val="4F81BD" w:themeColor="accent1"/>
      <w:szCs w:val="24"/>
      <w:lang w:val="es-ES" w:eastAsia="es-ES"/>
    </w:rPr>
  </w:style>
  <w:style w:type="paragraph" w:styleId="ndice1">
    <w:name w:val="index 1"/>
    <w:basedOn w:val="Normal"/>
    <w:next w:val="Normal"/>
    <w:autoRedefine/>
    <w:uiPriority w:val="99"/>
    <w:unhideWhenUsed/>
    <w:rsid w:val="00FF3471"/>
    <w:pPr>
      <w:numPr>
        <w:numId w:val="10"/>
      </w:numPr>
      <w:overflowPunct w:val="0"/>
      <w:autoSpaceDE w:val="0"/>
      <w:autoSpaceDN w:val="0"/>
      <w:adjustRightInd w:val="0"/>
      <w:jc w:val="both"/>
      <w:textAlignment w:val="baseline"/>
    </w:pPr>
    <w:rPr>
      <w:rFonts w:ascii="Times New Roman" w:hAnsi="Times New Roman"/>
      <w:bCs/>
      <w:color w:val="000000"/>
      <w:sz w:val="24"/>
      <w:szCs w:val="20"/>
    </w:rPr>
  </w:style>
  <w:style w:type="paragraph" w:styleId="Ttulodendice">
    <w:name w:val="index heading"/>
    <w:basedOn w:val="Normal"/>
    <w:next w:val="ndice1"/>
    <w:semiHidden/>
    <w:rsid w:val="00147A91"/>
    <w:rPr>
      <w:rFonts w:ascii="Times New Roman" w:hAnsi="Times New Roman"/>
      <w:sz w:val="24"/>
      <w:szCs w:val="20"/>
    </w:rPr>
  </w:style>
  <w:style w:type="paragraph" w:styleId="Textodeglobo">
    <w:name w:val="Balloon Text"/>
    <w:basedOn w:val="Normal"/>
    <w:link w:val="TextodegloboCar"/>
    <w:uiPriority w:val="99"/>
    <w:semiHidden/>
    <w:unhideWhenUsed/>
    <w:rsid w:val="003D7669"/>
    <w:rPr>
      <w:rFonts w:ascii="Tahoma" w:hAnsi="Tahoma" w:cs="Tahoma"/>
      <w:sz w:val="16"/>
      <w:szCs w:val="16"/>
    </w:rPr>
  </w:style>
  <w:style w:type="character" w:customStyle="1" w:styleId="TextodegloboCar">
    <w:name w:val="Texto de globo Car"/>
    <w:basedOn w:val="Fuentedeprrafopredeter"/>
    <w:link w:val="Textodeglobo"/>
    <w:uiPriority w:val="99"/>
    <w:semiHidden/>
    <w:rsid w:val="003D766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165"/>
    <w:pPr>
      <w:spacing w:after="0" w:line="240" w:lineRule="auto"/>
    </w:pPr>
    <w:rPr>
      <w:rFonts w:ascii="Arial" w:eastAsia="Times New Roman" w:hAnsi="Arial" w:cs="Times New Roman"/>
      <w:szCs w:val="24"/>
      <w:lang w:val="es-ES" w:eastAsia="es-ES"/>
    </w:rPr>
  </w:style>
  <w:style w:type="paragraph" w:styleId="Ttulo1">
    <w:name w:val="heading 1"/>
    <w:basedOn w:val="Normal"/>
    <w:next w:val="Normal"/>
    <w:link w:val="Ttulo1Car"/>
    <w:qFormat/>
    <w:rsid w:val="002F7165"/>
    <w:pPr>
      <w:keepNext/>
      <w:numPr>
        <w:numId w:val="1"/>
      </w:numPr>
      <w:jc w:val="both"/>
      <w:outlineLvl w:val="0"/>
    </w:pPr>
    <w:rPr>
      <w:b/>
      <w:bCs/>
      <w:lang w:val="es-MX"/>
    </w:rPr>
  </w:style>
  <w:style w:type="paragraph" w:styleId="Ttulo2">
    <w:name w:val="heading 2"/>
    <w:basedOn w:val="Ttulo1"/>
    <w:next w:val="Normal"/>
    <w:link w:val="Ttulo2Car"/>
    <w:uiPriority w:val="9"/>
    <w:unhideWhenUsed/>
    <w:qFormat/>
    <w:rsid w:val="007C3868"/>
    <w:pPr>
      <w:numPr>
        <w:ilvl w:val="3"/>
        <w:numId w:val="2"/>
      </w:numPr>
      <w:outlineLvl w:val="1"/>
    </w:pPr>
    <w:rPr>
      <w:lang w:val="es-ES"/>
    </w:rPr>
  </w:style>
  <w:style w:type="paragraph" w:styleId="Ttulo3">
    <w:name w:val="heading 3"/>
    <w:basedOn w:val="Normal"/>
    <w:next w:val="Normal"/>
    <w:link w:val="Ttulo3Car"/>
    <w:uiPriority w:val="9"/>
    <w:semiHidden/>
    <w:unhideWhenUsed/>
    <w:qFormat/>
    <w:rsid w:val="006D73B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2F7165"/>
    <w:pPr>
      <w:keepNext/>
      <w:numPr>
        <w:ilvl w:val="3"/>
        <w:numId w:val="1"/>
      </w:numPr>
      <w:jc w:val="center"/>
      <w:outlineLvl w:val="3"/>
    </w:pPr>
    <w:rPr>
      <w:rFonts w:cs="Arial"/>
      <w:b/>
      <w:bCs/>
      <w:sz w:val="20"/>
      <w:szCs w:val="20"/>
    </w:rPr>
  </w:style>
  <w:style w:type="paragraph" w:styleId="Ttulo5">
    <w:name w:val="heading 5"/>
    <w:basedOn w:val="Normal"/>
    <w:next w:val="Normal"/>
    <w:link w:val="Ttulo5Car"/>
    <w:qFormat/>
    <w:rsid w:val="002F7165"/>
    <w:pPr>
      <w:keepNext/>
      <w:numPr>
        <w:ilvl w:val="4"/>
        <w:numId w:val="1"/>
      </w:numPr>
      <w:outlineLvl w:val="4"/>
    </w:pPr>
    <w:rPr>
      <w:b/>
      <w:bCs/>
      <w:color w:val="000000"/>
      <w:sz w:val="16"/>
      <w:szCs w:val="16"/>
      <w:lang w:val="en-US"/>
    </w:rPr>
  </w:style>
  <w:style w:type="paragraph" w:styleId="Ttulo6">
    <w:name w:val="heading 6"/>
    <w:basedOn w:val="Normal"/>
    <w:next w:val="Normal"/>
    <w:link w:val="Ttulo6Car"/>
    <w:qFormat/>
    <w:rsid w:val="002F7165"/>
    <w:pPr>
      <w:keepNext/>
      <w:numPr>
        <w:ilvl w:val="5"/>
        <w:numId w:val="1"/>
      </w:numPr>
      <w:outlineLvl w:val="5"/>
    </w:pPr>
    <w:rPr>
      <w:b/>
      <w:bCs/>
      <w:sz w:val="20"/>
      <w:szCs w:val="20"/>
      <w:lang w:val="en-US"/>
    </w:rPr>
  </w:style>
  <w:style w:type="paragraph" w:styleId="Ttulo7">
    <w:name w:val="heading 7"/>
    <w:basedOn w:val="Normal"/>
    <w:next w:val="Normal"/>
    <w:link w:val="Ttulo7Car"/>
    <w:qFormat/>
    <w:rsid w:val="002F7165"/>
    <w:pPr>
      <w:keepNext/>
      <w:numPr>
        <w:ilvl w:val="6"/>
        <w:numId w:val="1"/>
      </w:numPr>
      <w:outlineLvl w:val="6"/>
    </w:pPr>
    <w:rPr>
      <w:b/>
      <w:bCs/>
      <w:szCs w:val="20"/>
    </w:rPr>
  </w:style>
  <w:style w:type="paragraph" w:styleId="Ttulo8">
    <w:name w:val="heading 8"/>
    <w:basedOn w:val="Normal"/>
    <w:next w:val="Normal"/>
    <w:link w:val="Ttulo8Car"/>
    <w:qFormat/>
    <w:rsid w:val="002F7165"/>
    <w:pPr>
      <w:keepNext/>
      <w:numPr>
        <w:ilvl w:val="7"/>
        <w:numId w:val="1"/>
      </w:numPr>
      <w:tabs>
        <w:tab w:val="left" w:pos="480"/>
      </w:tabs>
      <w:ind w:right="79"/>
      <w:jc w:val="both"/>
      <w:outlineLvl w:val="7"/>
    </w:pPr>
    <w:rPr>
      <w:i/>
      <w:iCs/>
      <w:sz w:val="18"/>
      <w:lang w:val="es-MX"/>
    </w:rPr>
  </w:style>
  <w:style w:type="paragraph" w:styleId="Ttulo9">
    <w:name w:val="heading 9"/>
    <w:basedOn w:val="Normal"/>
    <w:next w:val="Normal"/>
    <w:link w:val="Ttulo9Car"/>
    <w:qFormat/>
    <w:rsid w:val="002F7165"/>
    <w:pPr>
      <w:keepNext/>
      <w:numPr>
        <w:ilvl w:val="8"/>
        <w:numId w:val="1"/>
      </w:numPr>
      <w:jc w:val="center"/>
      <w:outlineLvl w:val="8"/>
    </w:pPr>
    <w:rPr>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F7165"/>
    <w:rPr>
      <w:rFonts w:ascii="Arial" w:eastAsia="Times New Roman" w:hAnsi="Arial" w:cs="Times New Roman"/>
      <w:b/>
      <w:bCs/>
      <w:szCs w:val="24"/>
      <w:lang w:val="es-MX" w:eastAsia="es-ES"/>
    </w:rPr>
  </w:style>
  <w:style w:type="character" w:customStyle="1" w:styleId="Ttulo4Car">
    <w:name w:val="Título 4 Car"/>
    <w:basedOn w:val="Fuentedeprrafopredeter"/>
    <w:link w:val="Ttulo4"/>
    <w:rsid w:val="002F7165"/>
    <w:rPr>
      <w:rFonts w:ascii="Arial" w:eastAsia="Times New Roman" w:hAnsi="Arial" w:cs="Arial"/>
      <w:b/>
      <w:bCs/>
      <w:sz w:val="20"/>
      <w:szCs w:val="20"/>
      <w:lang w:val="es-ES" w:eastAsia="es-ES"/>
    </w:rPr>
  </w:style>
  <w:style w:type="character" w:customStyle="1" w:styleId="Ttulo5Car">
    <w:name w:val="Título 5 Car"/>
    <w:basedOn w:val="Fuentedeprrafopredeter"/>
    <w:link w:val="Ttulo5"/>
    <w:rsid w:val="002F7165"/>
    <w:rPr>
      <w:rFonts w:ascii="Arial" w:eastAsia="Times New Roman" w:hAnsi="Arial" w:cs="Times New Roman"/>
      <w:b/>
      <w:bCs/>
      <w:color w:val="000000"/>
      <w:sz w:val="16"/>
      <w:szCs w:val="16"/>
      <w:lang w:val="en-US" w:eastAsia="es-ES"/>
    </w:rPr>
  </w:style>
  <w:style w:type="character" w:customStyle="1" w:styleId="Ttulo6Car">
    <w:name w:val="Título 6 Car"/>
    <w:basedOn w:val="Fuentedeprrafopredeter"/>
    <w:link w:val="Ttulo6"/>
    <w:rsid w:val="002F7165"/>
    <w:rPr>
      <w:rFonts w:ascii="Arial" w:eastAsia="Times New Roman" w:hAnsi="Arial" w:cs="Times New Roman"/>
      <w:b/>
      <w:bCs/>
      <w:sz w:val="20"/>
      <w:szCs w:val="20"/>
      <w:lang w:val="en-US" w:eastAsia="es-ES"/>
    </w:rPr>
  </w:style>
  <w:style w:type="character" w:customStyle="1" w:styleId="Ttulo7Car">
    <w:name w:val="Título 7 Car"/>
    <w:basedOn w:val="Fuentedeprrafopredeter"/>
    <w:link w:val="Ttulo7"/>
    <w:rsid w:val="002F7165"/>
    <w:rPr>
      <w:rFonts w:ascii="Arial" w:eastAsia="Times New Roman" w:hAnsi="Arial" w:cs="Times New Roman"/>
      <w:b/>
      <w:bCs/>
      <w:szCs w:val="20"/>
      <w:lang w:val="es-ES" w:eastAsia="es-ES"/>
    </w:rPr>
  </w:style>
  <w:style w:type="character" w:customStyle="1" w:styleId="Ttulo8Car">
    <w:name w:val="Título 8 Car"/>
    <w:basedOn w:val="Fuentedeprrafopredeter"/>
    <w:link w:val="Ttulo8"/>
    <w:rsid w:val="002F7165"/>
    <w:rPr>
      <w:rFonts w:ascii="Arial" w:eastAsia="Times New Roman" w:hAnsi="Arial" w:cs="Times New Roman"/>
      <w:i/>
      <w:iCs/>
      <w:sz w:val="18"/>
      <w:szCs w:val="24"/>
      <w:lang w:val="es-MX" w:eastAsia="es-ES"/>
    </w:rPr>
  </w:style>
  <w:style w:type="character" w:customStyle="1" w:styleId="Ttulo9Car">
    <w:name w:val="Título 9 Car"/>
    <w:basedOn w:val="Fuentedeprrafopredeter"/>
    <w:link w:val="Ttulo9"/>
    <w:rsid w:val="002F7165"/>
    <w:rPr>
      <w:rFonts w:ascii="Arial" w:eastAsia="Times New Roman" w:hAnsi="Arial" w:cs="Times New Roman"/>
      <w:b/>
      <w:bCs/>
      <w:szCs w:val="20"/>
      <w:lang w:val="es-ES" w:eastAsia="es-ES"/>
    </w:rPr>
  </w:style>
  <w:style w:type="paragraph" w:styleId="Textoindependiente">
    <w:name w:val="Body Text"/>
    <w:basedOn w:val="Normal"/>
    <w:link w:val="TextoindependienteCar"/>
    <w:uiPriority w:val="99"/>
    <w:semiHidden/>
    <w:rsid w:val="002F7165"/>
    <w:pPr>
      <w:jc w:val="both"/>
    </w:pPr>
    <w:rPr>
      <w:lang w:val="es-MX"/>
    </w:rPr>
  </w:style>
  <w:style w:type="character" w:customStyle="1" w:styleId="TextoindependienteCar">
    <w:name w:val="Texto independiente Car"/>
    <w:basedOn w:val="Fuentedeprrafopredeter"/>
    <w:link w:val="Textoindependiente"/>
    <w:uiPriority w:val="99"/>
    <w:semiHidden/>
    <w:rsid w:val="002F7165"/>
    <w:rPr>
      <w:rFonts w:ascii="Arial" w:eastAsia="Times New Roman" w:hAnsi="Arial" w:cs="Times New Roman"/>
      <w:szCs w:val="24"/>
      <w:lang w:val="es-MX" w:eastAsia="es-ES"/>
    </w:rPr>
  </w:style>
  <w:style w:type="paragraph" w:styleId="TDC1">
    <w:name w:val="toc 1"/>
    <w:basedOn w:val="Normal"/>
    <w:next w:val="Normal"/>
    <w:autoRedefine/>
    <w:uiPriority w:val="39"/>
    <w:rsid w:val="00E47757"/>
    <w:pPr>
      <w:tabs>
        <w:tab w:val="left" w:pos="852"/>
        <w:tab w:val="right" w:leader="dot" w:pos="9396"/>
      </w:tabs>
      <w:spacing w:line="360" w:lineRule="auto"/>
      <w:ind w:left="851" w:right="-91" w:hanging="850"/>
      <w:jc w:val="both"/>
    </w:pPr>
    <w:rPr>
      <w:b/>
      <w:bCs/>
      <w:noProof/>
    </w:rPr>
  </w:style>
  <w:style w:type="paragraph" w:styleId="TDC2">
    <w:name w:val="toc 2"/>
    <w:basedOn w:val="Normal"/>
    <w:next w:val="Normal"/>
    <w:autoRedefine/>
    <w:uiPriority w:val="39"/>
    <w:rsid w:val="00B52D97"/>
    <w:pPr>
      <w:tabs>
        <w:tab w:val="left" w:pos="426"/>
        <w:tab w:val="left" w:pos="1440"/>
        <w:tab w:val="right" w:leader="dot" w:pos="9396"/>
      </w:tabs>
      <w:spacing w:line="480" w:lineRule="auto"/>
      <w:ind w:left="851"/>
    </w:pPr>
    <w:rPr>
      <w:noProof/>
    </w:rPr>
  </w:style>
  <w:style w:type="paragraph" w:styleId="TDC3">
    <w:name w:val="toc 3"/>
    <w:basedOn w:val="Normal"/>
    <w:next w:val="Normal"/>
    <w:autoRedefine/>
    <w:uiPriority w:val="39"/>
    <w:rsid w:val="002F7165"/>
    <w:pPr>
      <w:tabs>
        <w:tab w:val="left" w:pos="1701"/>
        <w:tab w:val="right" w:leader="dot" w:pos="9394"/>
      </w:tabs>
      <w:spacing w:line="360" w:lineRule="auto"/>
      <w:ind w:left="1418" w:hanging="709"/>
      <w:jc w:val="both"/>
    </w:pPr>
  </w:style>
  <w:style w:type="character" w:styleId="Hipervnculo">
    <w:name w:val="Hyperlink"/>
    <w:basedOn w:val="Fuentedeprrafopredeter"/>
    <w:uiPriority w:val="99"/>
    <w:rsid w:val="002F7165"/>
    <w:rPr>
      <w:color w:val="0000FF"/>
      <w:u w:val="single"/>
    </w:rPr>
  </w:style>
  <w:style w:type="paragraph" w:styleId="Prrafodelista">
    <w:name w:val="List Paragraph"/>
    <w:basedOn w:val="Normal"/>
    <w:uiPriority w:val="34"/>
    <w:qFormat/>
    <w:rsid w:val="00B11789"/>
    <w:pPr>
      <w:ind w:left="720"/>
      <w:contextualSpacing/>
    </w:pPr>
  </w:style>
  <w:style w:type="paragraph" w:styleId="Encabezado">
    <w:name w:val="header"/>
    <w:basedOn w:val="Normal"/>
    <w:link w:val="EncabezadoCar"/>
    <w:unhideWhenUsed/>
    <w:rsid w:val="0085002C"/>
    <w:pPr>
      <w:tabs>
        <w:tab w:val="center" w:pos="4419"/>
        <w:tab w:val="right" w:pos="8838"/>
      </w:tabs>
    </w:pPr>
  </w:style>
  <w:style w:type="character" w:customStyle="1" w:styleId="EncabezadoCar">
    <w:name w:val="Encabezado Car"/>
    <w:basedOn w:val="Fuentedeprrafopredeter"/>
    <w:link w:val="Encabezado"/>
    <w:uiPriority w:val="99"/>
    <w:rsid w:val="0085002C"/>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85002C"/>
    <w:pPr>
      <w:tabs>
        <w:tab w:val="center" w:pos="4419"/>
        <w:tab w:val="right" w:pos="8838"/>
      </w:tabs>
    </w:pPr>
  </w:style>
  <w:style w:type="character" w:customStyle="1" w:styleId="PiedepginaCar">
    <w:name w:val="Pie de página Car"/>
    <w:basedOn w:val="Fuentedeprrafopredeter"/>
    <w:link w:val="Piedepgina"/>
    <w:uiPriority w:val="99"/>
    <w:rsid w:val="0085002C"/>
    <w:rPr>
      <w:rFonts w:ascii="Arial" w:eastAsia="Times New Roman" w:hAnsi="Arial" w:cs="Times New Roman"/>
      <w:szCs w:val="24"/>
      <w:lang w:val="es-ES" w:eastAsia="es-ES"/>
    </w:rPr>
  </w:style>
  <w:style w:type="paragraph" w:styleId="NormalWeb">
    <w:name w:val="Normal (Web)"/>
    <w:basedOn w:val="Normal"/>
    <w:uiPriority w:val="99"/>
    <w:semiHidden/>
    <w:unhideWhenUsed/>
    <w:rsid w:val="0071151A"/>
    <w:pPr>
      <w:spacing w:before="100" w:beforeAutospacing="1" w:after="100" w:afterAutospacing="1"/>
    </w:pPr>
    <w:rPr>
      <w:rFonts w:ascii="Times New Roman" w:hAnsi="Times New Roman"/>
      <w:sz w:val="24"/>
      <w:lang w:val="es-CL" w:eastAsia="es-CL"/>
    </w:rPr>
  </w:style>
  <w:style w:type="character" w:customStyle="1" w:styleId="Ttulo2Car">
    <w:name w:val="Título 2 Car"/>
    <w:basedOn w:val="Fuentedeprrafopredeter"/>
    <w:link w:val="Ttulo2"/>
    <w:uiPriority w:val="9"/>
    <w:rsid w:val="007C3868"/>
    <w:rPr>
      <w:rFonts w:ascii="Arial" w:eastAsia="Times New Roman" w:hAnsi="Arial" w:cs="Times New Roman"/>
      <w:b/>
      <w:bCs/>
      <w:szCs w:val="24"/>
      <w:lang w:val="es-ES" w:eastAsia="es-ES"/>
    </w:rPr>
  </w:style>
  <w:style w:type="character" w:customStyle="1" w:styleId="Ttulo3Car">
    <w:name w:val="Título 3 Car"/>
    <w:basedOn w:val="Fuentedeprrafopredeter"/>
    <w:link w:val="Ttulo3"/>
    <w:uiPriority w:val="9"/>
    <w:semiHidden/>
    <w:rsid w:val="006D73BD"/>
    <w:rPr>
      <w:rFonts w:asciiTheme="majorHAnsi" w:eastAsiaTheme="majorEastAsia" w:hAnsiTheme="majorHAnsi" w:cstheme="majorBidi"/>
      <w:b/>
      <w:bCs/>
      <w:color w:val="4F81BD" w:themeColor="accent1"/>
      <w:szCs w:val="24"/>
      <w:lang w:val="es-ES" w:eastAsia="es-ES"/>
    </w:rPr>
  </w:style>
  <w:style w:type="paragraph" w:styleId="ndice1">
    <w:name w:val="index 1"/>
    <w:basedOn w:val="Normal"/>
    <w:next w:val="Normal"/>
    <w:autoRedefine/>
    <w:uiPriority w:val="99"/>
    <w:unhideWhenUsed/>
    <w:rsid w:val="00FF3471"/>
    <w:pPr>
      <w:numPr>
        <w:numId w:val="10"/>
      </w:numPr>
      <w:overflowPunct w:val="0"/>
      <w:autoSpaceDE w:val="0"/>
      <w:autoSpaceDN w:val="0"/>
      <w:adjustRightInd w:val="0"/>
      <w:jc w:val="both"/>
      <w:textAlignment w:val="baseline"/>
    </w:pPr>
    <w:rPr>
      <w:rFonts w:ascii="Times New Roman" w:hAnsi="Times New Roman"/>
      <w:bCs/>
      <w:color w:val="000000"/>
      <w:sz w:val="24"/>
      <w:szCs w:val="20"/>
    </w:rPr>
  </w:style>
  <w:style w:type="paragraph" w:styleId="Ttulodendice">
    <w:name w:val="index heading"/>
    <w:basedOn w:val="Normal"/>
    <w:next w:val="ndice1"/>
    <w:semiHidden/>
    <w:rsid w:val="00147A91"/>
    <w:rPr>
      <w:rFonts w:ascii="Times New Roman" w:hAnsi="Times New Roman"/>
      <w:sz w:val="24"/>
      <w:szCs w:val="20"/>
    </w:rPr>
  </w:style>
  <w:style w:type="paragraph" w:styleId="Textodeglobo">
    <w:name w:val="Balloon Text"/>
    <w:basedOn w:val="Normal"/>
    <w:link w:val="TextodegloboCar"/>
    <w:uiPriority w:val="99"/>
    <w:semiHidden/>
    <w:unhideWhenUsed/>
    <w:rsid w:val="003D7669"/>
    <w:rPr>
      <w:rFonts w:ascii="Tahoma" w:hAnsi="Tahoma" w:cs="Tahoma"/>
      <w:sz w:val="16"/>
      <w:szCs w:val="16"/>
    </w:rPr>
  </w:style>
  <w:style w:type="character" w:customStyle="1" w:styleId="TextodegloboCar">
    <w:name w:val="Texto de globo Car"/>
    <w:basedOn w:val="Fuentedeprrafopredeter"/>
    <w:link w:val="Textodeglobo"/>
    <w:uiPriority w:val="99"/>
    <w:semiHidden/>
    <w:rsid w:val="003D766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1977">
      <w:bodyDiv w:val="1"/>
      <w:marLeft w:val="0"/>
      <w:marRight w:val="0"/>
      <w:marTop w:val="0"/>
      <w:marBottom w:val="0"/>
      <w:divBdr>
        <w:top w:val="none" w:sz="0" w:space="0" w:color="auto"/>
        <w:left w:val="none" w:sz="0" w:space="0" w:color="auto"/>
        <w:bottom w:val="none" w:sz="0" w:space="0" w:color="auto"/>
        <w:right w:val="none" w:sz="0" w:space="0" w:color="auto"/>
      </w:divBdr>
    </w:div>
    <w:div w:id="1168010964">
      <w:bodyDiv w:val="1"/>
      <w:marLeft w:val="0"/>
      <w:marRight w:val="0"/>
      <w:marTop w:val="0"/>
      <w:marBottom w:val="0"/>
      <w:divBdr>
        <w:top w:val="none" w:sz="0" w:space="0" w:color="auto"/>
        <w:left w:val="none" w:sz="0" w:space="0" w:color="auto"/>
        <w:bottom w:val="none" w:sz="0" w:space="0" w:color="auto"/>
        <w:right w:val="none" w:sz="0" w:space="0" w:color="auto"/>
      </w:divBdr>
      <w:divsChild>
        <w:div w:id="137384901">
          <w:marLeft w:val="547"/>
          <w:marRight w:val="0"/>
          <w:marTop w:val="86"/>
          <w:marBottom w:val="0"/>
          <w:divBdr>
            <w:top w:val="none" w:sz="0" w:space="0" w:color="auto"/>
            <w:left w:val="none" w:sz="0" w:space="0" w:color="auto"/>
            <w:bottom w:val="none" w:sz="0" w:space="0" w:color="auto"/>
            <w:right w:val="none" w:sz="0" w:space="0" w:color="auto"/>
          </w:divBdr>
        </w:div>
      </w:divsChild>
    </w:div>
    <w:div w:id="174125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6D02F-5619-4C5E-A08C-B14D7F40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2552</Words>
  <Characters>14040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Alvarez Marchant</dc:creator>
  <cp:lastModifiedBy>Marcos G Larenas</cp:lastModifiedBy>
  <cp:revision>2</cp:revision>
  <cp:lastPrinted>2016-09-23T14:30:00Z</cp:lastPrinted>
  <dcterms:created xsi:type="dcterms:W3CDTF">2016-09-23T19:31:00Z</dcterms:created>
  <dcterms:modified xsi:type="dcterms:W3CDTF">2016-09-23T19:31:00Z</dcterms:modified>
</cp:coreProperties>
</file>