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81" w:rsidRDefault="000441BA" w:rsidP="00E52081">
      <w:pPr>
        <w:pStyle w:val="Style4"/>
        <w:widowControl/>
        <w:ind w:left="-851"/>
        <w:rPr>
          <w:rStyle w:val="FontStyle38"/>
          <w:lang w:val="es-ES_tradnl" w:eastAsia="es-ES_tradnl"/>
        </w:rPr>
      </w:pPr>
      <w:r>
        <w:rPr>
          <w:b/>
          <w:bCs/>
          <w:noProof/>
          <w:spacing w:val="10"/>
        </w:rPr>
        <w:drawing>
          <wp:inline distT="0" distB="0" distL="0" distR="0">
            <wp:extent cx="6918325" cy="281241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918325" cy="2812415"/>
                    </a:xfrm>
                    <a:prstGeom prst="rect">
                      <a:avLst/>
                    </a:prstGeom>
                    <a:noFill/>
                    <a:ln w="9525">
                      <a:noFill/>
                      <a:miter lim="800000"/>
                      <a:headEnd/>
                      <a:tailEnd/>
                    </a:ln>
                  </pic:spPr>
                </pic:pic>
              </a:graphicData>
            </a:graphic>
          </wp:inline>
        </w:drawing>
      </w: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E52081" w:rsidP="00E52081">
      <w:pPr>
        <w:pStyle w:val="Style4"/>
        <w:widowControl/>
        <w:ind w:left="-851"/>
        <w:rPr>
          <w:rStyle w:val="FontStyle38"/>
          <w:lang w:val="es-ES_tradnl" w:eastAsia="es-ES_tradnl"/>
        </w:rPr>
      </w:pPr>
    </w:p>
    <w:p w:rsidR="00E52081" w:rsidRDefault="00CE0A71" w:rsidP="00E52081">
      <w:pPr>
        <w:pStyle w:val="Style4"/>
        <w:widowControl/>
        <w:jc w:val="center"/>
        <w:rPr>
          <w:rStyle w:val="FontStyle38"/>
          <w:lang w:val="es-ES_tradnl" w:eastAsia="es-ES_tradnl"/>
        </w:rPr>
      </w:pPr>
      <w:r>
        <w:rPr>
          <w:rStyle w:val="FontStyle38"/>
          <w:lang w:val="es-ES_tradnl" w:eastAsia="es-ES_tradnl"/>
        </w:rPr>
        <w:t xml:space="preserve">IMPARTE INSTRUCCIONES PARA LA APLICACIÓN DE LA LEY </w:t>
      </w:r>
    </w:p>
    <w:p w:rsidR="00E52081" w:rsidRDefault="00CE0A71" w:rsidP="00E52081">
      <w:pPr>
        <w:pStyle w:val="Style4"/>
        <w:widowControl/>
        <w:jc w:val="center"/>
        <w:rPr>
          <w:rStyle w:val="FontStyle38"/>
          <w:lang w:val="es-ES_tradnl" w:eastAsia="es-ES_tradnl"/>
        </w:rPr>
      </w:pPr>
      <w:r>
        <w:rPr>
          <w:rStyle w:val="FontStyle38"/>
          <w:lang w:val="es-ES_tradnl" w:eastAsia="es-ES_tradnl"/>
        </w:rPr>
        <w:t>N°</w:t>
      </w:r>
      <w:r>
        <w:rPr>
          <w:rStyle w:val="FontStyle38"/>
          <w:lang w:val="es-ES_tradnl" w:eastAsia="es-ES_tradnl"/>
        </w:rPr>
        <w:t xml:space="preserve"> 20.585, QUE PERFECCIONA EL SISTEMA DE LICENCIAS </w:t>
      </w:r>
    </w:p>
    <w:p w:rsidR="00E52081" w:rsidRDefault="00CE0A71" w:rsidP="00E52081">
      <w:pPr>
        <w:pStyle w:val="Style4"/>
        <w:widowControl/>
        <w:jc w:val="center"/>
        <w:rPr>
          <w:rStyle w:val="FontStyle38"/>
          <w:lang w:val="es-ES_tradnl" w:eastAsia="es-ES_tradnl"/>
        </w:rPr>
      </w:pPr>
      <w:r>
        <w:rPr>
          <w:rStyle w:val="FontStyle38"/>
          <w:lang w:val="es-ES_tradnl" w:eastAsia="es-ES_tradnl"/>
        </w:rPr>
        <w:t xml:space="preserve">MÉDICAS, ESTABLECIENDO MEDIDAS QUE ASEGUREN SU </w:t>
      </w:r>
    </w:p>
    <w:p w:rsidR="00000000" w:rsidRDefault="00CE0A71" w:rsidP="00E52081">
      <w:pPr>
        <w:pStyle w:val="Style4"/>
        <w:widowControl/>
        <w:jc w:val="center"/>
        <w:rPr>
          <w:rStyle w:val="FontStyle38"/>
          <w:lang w:val="es-ES_tradnl" w:eastAsia="es-ES_tradnl"/>
        </w:rPr>
      </w:pPr>
      <w:r>
        <w:rPr>
          <w:rStyle w:val="FontStyle38"/>
          <w:lang w:val="es-ES_tradnl" w:eastAsia="es-ES_tradnl"/>
        </w:rPr>
        <w:t>CORRECTO OTORGAMIENTO Y USO</w:t>
      </w:r>
    </w:p>
    <w:p w:rsidR="00860C52" w:rsidRDefault="00860C52">
      <w:pPr>
        <w:pStyle w:val="Style4"/>
        <w:widowControl/>
        <w:rPr>
          <w:rStyle w:val="FontStyle38"/>
          <w:lang w:val="es-ES_tradnl" w:eastAsia="es-ES_tradnl"/>
        </w:rPr>
      </w:pPr>
      <w:r>
        <w:rPr>
          <w:rStyle w:val="FontStyle38"/>
          <w:lang w:val="es-ES_tradnl" w:eastAsia="es-ES_tradnl"/>
        </w:rPr>
        <w:br w:type="page"/>
      </w:r>
    </w:p>
    <w:p w:rsidR="00000000" w:rsidRDefault="00CE0A71" w:rsidP="00E52081">
      <w:pPr>
        <w:pStyle w:val="Style5"/>
        <w:widowControl/>
        <w:jc w:val="center"/>
        <w:rPr>
          <w:rStyle w:val="FontStyle41"/>
          <w:lang w:val="es-ES_tradnl" w:eastAsia="es-ES_tradnl"/>
        </w:rPr>
      </w:pPr>
      <w:r>
        <w:rPr>
          <w:rStyle w:val="FontStyle41"/>
          <w:lang w:val="es-ES_tradnl" w:eastAsia="es-ES_tradnl"/>
        </w:rPr>
        <w:t>INDICE</w:t>
      </w:r>
    </w:p>
    <w:p w:rsidR="00E52081" w:rsidRDefault="00E52081">
      <w:pPr>
        <w:pStyle w:val="Style10"/>
        <w:widowControl/>
        <w:rPr>
          <w:rStyle w:val="FontStyle40"/>
          <w:lang w:val="es-ES_tradnl" w:eastAsia="es-ES_tradnl"/>
        </w:rPr>
      </w:pPr>
    </w:p>
    <w:p w:rsidR="00E52081" w:rsidRDefault="00E52081">
      <w:pPr>
        <w:pStyle w:val="Style10"/>
        <w:widowControl/>
        <w:rPr>
          <w:rStyle w:val="FontStyle40"/>
          <w:lang w:val="es-ES_tradnl" w:eastAsia="es-ES_tradnl"/>
        </w:rPr>
      </w:pPr>
    </w:p>
    <w:p w:rsidR="00E52081" w:rsidRDefault="00E52081">
      <w:pPr>
        <w:pStyle w:val="Style10"/>
        <w:widowControl/>
        <w:rPr>
          <w:rStyle w:val="FontStyle40"/>
          <w:lang w:val="es-ES_tradnl" w:eastAsia="es-ES_tradnl"/>
        </w:rPr>
      </w:pPr>
    </w:p>
    <w:p w:rsidR="00E52081" w:rsidRDefault="00E52081">
      <w:pPr>
        <w:pStyle w:val="Style10"/>
        <w:widowControl/>
        <w:rPr>
          <w:rStyle w:val="FontStyle40"/>
          <w:lang w:val="es-ES_tradnl" w:eastAsia="es-ES_tradnl"/>
        </w:rPr>
      </w:pPr>
    </w:p>
    <w:p w:rsidR="00E52081" w:rsidRDefault="00E52081">
      <w:pPr>
        <w:pStyle w:val="Style10"/>
        <w:widowControl/>
        <w:rPr>
          <w:rStyle w:val="FontStyle40"/>
          <w:lang w:val="es-ES_tradnl" w:eastAsia="es-ES_tradnl"/>
        </w:rPr>
      </w:pPr>
    </w:p>
    <w:p w:rsidR="00E52081" w:rsidRDefault="00E52081">
      <w:pPr>
        <w:pStyle w:val="Style10"/>
        <w:widowControl/>
        <w:rPr>
          <w:rStyle w:val="FontStyle40"/>
          <w:lang w:val="es-ES_tradnl" w:eastAsia="es-ES_tradnl"/>
        </w:rPr>
      </w:pPr>
    </w:p>
    <w:p w:rsidR="00E52081" w:rsidRDefault="00E52081" w:rsidP="00E52081">
      <w:pPr>
        <w:pStyle w:val="Style10"/>
        <w:widowControl/>
        <w:spacing w:before="120" w:after="120"/>
        <w:ind w:left="993" w:right="1138"/>
        <w:jc w:val="both"/>
        <w:rPr>
          <w:rStyle w:val="FontStyle40"/>
          <w:lang w:val="es-ES_tradnl" w:eastAsia="es-ES_tradnl"/>
        </w:rPr>
      </w:pPr>
    </w:p>
    <w:p w:rsidR="00000000" w:rsidRDefault="00CE0A71" w:rsidP="00E52081">
      <w:pPr>
        <w:pStyle w:val="Style10"/>
        <w:widowControl/>
        <w:spacing w:before="120" w:after="120"/>
        <w:ind w:left="993" w:right="1138"/>
        <w:jc w:val="both"/>
        <w:rPr>
          <w:rStyle w:val="FontStyle40"/>
          <w:lang w:val="es-ES_tradnl" w:eastAsia="es-ES_tradnl"/>
        </w:rPr>
      </w:pPr>
      <w:r>
        <w:rPr>
          <w:rStyle w:val="FontStyle40"/>
          <w:lang w:val="es-ES_tradnl" w:eastAsia="es-ES_tradnl"/>
        </w:rPr>
        <w:t>I. Funciones otorgadas por la Ley N° 20.585 a las COMP1N, en la relativo a aplicar sanciones a profesionales que emiten licen</w:t>
      </w:r>
      <w:r>
        <w:rPr>
          <w:rStyle w:val="FontStyle40"/>
          <w:lang w:val="es-ES_tradnl" w:eastAsia="es-ES_tradnl"/>
        </w:rPr>
        <w:t>cias</w:t>
      </w:r>
      <w:r w:rsidR="00E52081">
        <w:rPr>
          <w:rStyle w:val="FontStyle40"/>
          <w:lang w:val="es-ES_tradnl" w:eastAsia="es-ES_tradnl"/>
        </w:rPr>
        <w:t xml:space="preserve"> m</w:t>
      </w:r>
      <w:r>
        <w:rPr>
          <w:rStyle w:val="FontStyle40"/>
          <w:lang w:val="es-ES_tradnl" w:eastAsia="es-ES_tradnl"/>
        </w:rPr>
        <w:t>édicas</w:t>
      </w:r>
      <w:r w:rsidR="00E52081">
        <w:rPr>
          <w:rStyle w:val="FontStyle40"/>
          <w:lang w:val="es-ES_tradnl" w:eastAsia="es-ES_tradnl"/>
        </w:rPr>
        <w:t>...</w:t>
      </w:r>
      <w:r>
        <w:rPr>
          <w:rStyle w:val="FontStyle40"/>
          <w:lang w:val="es-ES_tradnl" w:eastAsia="es-ES_tradnl"/>
        </w:rPr>
        <w:t>............................................................</w:t>
      </w:r>
      <w:r>
        <w:rPr>
          <w:rStyle w:val="FontStyle40"/>
          <w:lang w:val="es-ES_tradnl" w:eastAsia="es-ES_tradnl"/>
        </w:rPr>
        <w:t>.....</w:t>
      </w:r>
      <w:r w:rsidR="00E52081">
        <w:rPr>
          <w:rStyle w:val="FontStyle40"/>
          <w:lang w:val="es-ES_tradnl" w:eastAsia="es-ES_tradnl"/>
        </w:rPr>
        <w:t>...</w:t>
      </w:r>
      <w:r>
        <w:rPr>
          <w:rStyle w:val="FontStyle40"/>
          <w:lang w:val="es-ES_tradnl" w:eastAsia="es-ES_tradnl"/>
        </w:rPr>
        <w:t>............3</w:t>
      </w:r>
    </w:p>
    <w:p w:rsidR="00000000" w:rsidRDefault="00CE0A71" w:rsidP="00E52081">
      <w:pPr>
        <w:pStyle w:val="Style10"/>
        <w:widowControl/>
        <w:spacing w:before="120" w:after="120"/>
        <w:ind w:left="993" w:right="1138"/>
        <w:jc w:val="both"/>
        <w:rPr>
          <w:rStyle w:val="FontStyle40"/>
          <w:lang w:val="es-ES_tradnl" w:eastAsia="es-ES_tradnl"/>
        </w:rPr>
      </w:pPr>
      <w:r>
        <w:rPr>
          <w:rStyle w:val="FontStyle40"/>
          <w:lang w:val="es-ES_tradnl" w:eastAsia="es-ES_tradnl"/>
        </w:rPr>
        <w:t>II. Funciones otorgadas por la Ley N° 20.585 a la Superintendencia de Seguridad Soci</w:t>
      </w:r>
      <w:r w:rsidR="00E52081">
        <w:rPr>
          <w:rStyle w:val="FontStyle40"/>
          <w:lang w:val="es-ES_tradnl" w:eastAsia="es-ES_tradnl"/>
        </w:rPr>
        <w:t>al, en lo relativo a investigar d</w:t>
      </w:r>
      <w:r>
        <w:rPr>
          <w:rStyle w:val="FontStyle40"/>
          <w:lang w:val="es-ES_tradnl" w:eastAsia="es-ES_tradnl"/>
        </w:rPr>
        <w:t>enuncias</w:t>
      </w:r>
      <w:r>
        <w:rPr>
          <w:rStyle w:val="FontStyle40"/>
          <w:lang w:val="es-ES_tradnl" w:eastAsia="es-ES_tradnl"/>
        </w:rPr>
        <w:t>.......</w:t>
      </w:r>
      <w:r>
        <w:rPr>
          <w:rStyle w:val="FontStyle40"/>
          <w:lang w:val="es-ES_tradnl" w:eastAsia="es-ES_tradnl"/>
        </w:rPr>
        <w:t>..................................................................................</w:t>
      </w:r>
      <w:r w:rsidR="00E52081">
        <w:rPr>
          <w:rStyle w:val="FontStyle40"/>
          <w:lang w:val="es-ES_tradnl" w:eastAsia="es-ES_tradnl"/>
        </w:rPr>
        <w:t>...</w:t>
      </w:r>
      <w:r>
        <w:rPr>
          <w:rStyle w:val="FontStyle40"/>
          <w:lang w:val="es-ES_tradnl" w:eastAsia="es-ES_tradnl"/>
        </w:rPr>
        <w:t>...........</w:t>
      </w:r>
      <w:r>
        <w:rPr>
          <w:rStyle w:val="FontStyle40"/>
          <w:lang w:val="es-ES_tradnl" w:eastAsia="es-ES_tradnl"/>
        </w:rPr>
        <w:t>.4</w:t>
      </w:r>
    </w:p>
    <w:p w:rsidR="00000000" w:rsidRDefault="00CE0A71" w:rsidP="00E52081">
      <w:pPr>
        <w:pStyle w:val="Style10"/>
        <w:widowControl/>
        <w:spacing w:before="120" w:after="120"/>
        <w:ind w:left="993" w:right="1138"/>
        <w:rPr>
          <w:rStyle w:val="FontStyle40"/>
          <w:lang w:val="es-ES_tradnl" w:eastAsia="es-ES_tradnl"/>
        </w:rPr>
      </w:pPr>
      <w:r>
        <w:rPr>
          <w:rStyle w:val="FontStyle40"/>
          <w:lang w:val="es-ES_tradnl" w:eastAsia="es-ES_tradnl"/>
        </w:rPr>
        <w:t xml:space="preserve">III. Recepción de las denuncias efectuadas al amparo de la Ley </w:t>
      </w:r>
      <w:r w:rsidR="00E52081">
        <w:rPr>
          <w:rStyle w:val="FontStyle40"/>
          <w:lang w:val="es-ES_tradnl" w:eastAsia="es-ES_tradnl"/>
        </w:rPr>
        <w:t>N</w:t>
      </w:r>
      <w:r>
        <w:rPr>
          <w:rStyle w:val="FontStyle40"/>
          <w:lang w:val="es-ES_tradnl" w:eastAsia="es-ES_tradnl"/>
        </w:rPr>
        <w:t>°20.585</w:t>
      </w:r>
      <w:r>
        <w:rPr>
          <w:rStyle w:val="FontStyle40"/>
          <w:lang w:val="es-ES_tradnl" w:eastAsia="es-ES_tradnl"/>
        </w:rPr>
        <w:t>...................................4</w:t>
      </w:r>
    </w:p>
    <w:p w:rsidR="00000000" w:rsidRDefault="00CE0A71" w:rsidP="00E52081">
      <w:pPr>
        <w:pStyle w:val="Style10"/>
        <w:widowControl/>
        <w:spacing w:before="120" w:after="120"/>
        <w:ind w:left="993" w:right="1138"/>
        <w:jc w:val="both"/>
        <w:rPr>
          <w:rStyle w:val="FontStyle40"/>
          <w:lang w:val="es-ES_tradnl" w:eastAsia="es-ES_tradnl"/>
        </w:rPr>
      </w:pPr>
      <w:r>
        <w:rPr>
          <w:rStyle w:val="FontStyle40"/>
          <w:lang w:val="es-ES_tradnl" w:eastAsia="es-ES_tradnl"/>
        </w:rPr>
        <w:t>IV. Sanciones establecidas en la</w:t>
      </w:r>
      <w:r>
        <w:rPr>
          <w:rStyle w:val="FontStyle40"/>
          <w:lang w:val="es-ES_tradnl" w:eastAsia="es-ES_tradnl"/>
        </w:rPr>
        <w:t xml:space="preserve"> Ley N°20.585.....................</w:t>
      </w:r>
      <w:r w:rsidR="00E52081">
        <w:rPr>
          <w:rStyle w:val="FontStyle40"/>
          <w:lang w:val="es-ES_tradnl" w:eastAsia="es-ES_tradnl"/>
        </w:rPr>
        <w:t>..........</w:t>
      </w:r>
      <w:r>
        <w:rPr>
          <w:rStyle w:val="FontStyle40"/>
          <w:lang w:val="es-ES_tradnl" w:eastAsia="es-ES_tradnl"/>
        </w:rPr>
        <w:t>................................................6</w:t>
      </w:r>
    </w:p>
    <w:p w:rsidR="00000000" w:rsidRDefault="00CE0A71" w:rsidP="00E52081">
      <w:pPr>
        <w:pStyle w:val="Style10"/>
        <w:widowControl/>
        <w:spacing w:before="120" w:after="120"/>
        <w:ind w:left="993" w:right="1138"/>
        <w:jc w:val="both"/>
        <w:rPr>
          <w:rStyle w:val="FontStyle40"/>
          <w:lang w:val="es-ES_tradnl" w:eastAsia="es-ES_tradnl"/>
        </w:rPr>
      </w:pPr>
      <w:r>
        <w:rPr>
          <w:rStyle w:val="FontStyle40"/>
          <w:lang w:val="es-ES_tradnl" w:eastAsia="es-ES_tradnl"/>
        </w:rPr>
        <w:t>V. Comunicaciones previstas en la Ley N°20.585, que deba efectuar la Superintendencia de Seguridad Social...............................................</w:t>
      </w:r>
      <w:r>
        <w:rPr>
          <w:rStyle w:val="FontStyle40"/>
          <w:lang w:val="es-ES_tradnl" w:eastAsia="es-ES_tradnl"/>
        </w:rPr>
        <w:t>.................................................................................................7</w:t>
      </w:r>
    </w:p>
    <w:p w:rsidR="00000000" w:rsidRDefault="00CE0A71" w:rsidP="00E52081">
      <w:pPr>
        <w:pStyle w:val="Style10"/>
        <w:widowControl/>
        <w:spacing w:before="120" w:after="120"/>
        <w:ind w:left="993" w:right="1138"/>
        <w:jc w:val="both"/>
        <w:rPr>
          <w:rStyle w:val="FontStyle40"/>
          <w:lang w:val="es-ES_tradnl" w:eastAsia="es-ES_tradnl"/>
        </w:rPr>
      </w:pPr>
      <w:r>
        <w:rPr>
          <w:rStyle w:val="FontStyle40"/>
          <w:lang w:val="es-ES_tradnl" w:eastAsia="es-ES_tradnl"/>
        </w:rPr>
        <w:t>VI.</w:t>
      </w:r>
      <w:r>
        <w:rPr>
          <w:rStyle w:val="FontStyle40"/>
          <w:lang w:val="es-ES_tradnl" w:eastAsia="es-ES_tradnl"/>
        </w:rPr>
        <w:t>Difusión......................................</w:t>
      </w:r>
      <w:r>
        <w:rPr>
          <w:rStyle w:val="FontStyle40"/>
          <w:lang w:val="es-ES_tradnl" w:eastAsia="es-ES_tradnl"/>
        </w:rPr>
        <w:t>......................................................................</w:t>
      </w:r>
      <w:r>
        <w:rPr>
          <w:rStyle w:val="FontStyle40"/>
          <w:lang w:val="es-ES_tradnl" w:eastAsia="es-ES_tradnl"/>
        </w:rPr>
        <w:t>.............................</w:t>
      </w:r>
      <w:r>
        <w:rPr>
          <w:rStyle w:val="FontStyle40"/>
          <w:lang w:val="es-ES_tradnl" w:eastAsia="es-ES_tradnl"/>
        </w:rPr>
        <w:t>8</w:t>
      </w:r>
    </w:p>
    <w:p w:rsidR="00000000" w:rsidRDefault="00CE0A71" w:rsidP="00E52081">
      <w:pPr>
        <w:pStyle w:val="Style12"/>
        <w:widowControl/>
        <w:spacing w:before="120" w:after="120"/>
        <w:ind w:left="993" w:right="1138"/>
        <w:jc w:val="both"/>
        <w:rPr>
          <w:rStyle w:val="FontStyle40"/>
          <w:lang w:val="es-ES_tradnl" w:eastAsia="es-ES_tradnl"/>
        </w:rPr>
      </w:pPr>
      <w:r>
        <w:rPr>
          <w:rStyle w:val="FontStyle40"/>
          <w:lang w:val="es-ES_tradnl" w:eastAsia="es-ES_tradnl"/>
        </w:rPr>
        <w:t>ANEXOS................................................................................</w:t>
      </w:r>
      <w:r>
        <w:rPr>
          <w:rStyle w:val="FontStyle40"/>
          <w:lang w:val="es-ES_tradnl" w:eastAsia="es-ES_tradnl"/>
        </w:rPr>
        <w:t>.............................................................9</w:t>
      </w:r>
    </w:p>
    <w:p w:rsidR="00000000" w:rsidRDefault="00CE0A71" w:rsidP="00E52081">
      <w:pPr>
        <w:pStyle w:val="Style12"/>
        <w:widowControl/>
        <w:spacing w:before="120" w:after="120"/>
        <w:ind w:left="993" w:right="1138"/>
        <w:jc w:val="both"/>
        <w:rPr>
          <w:rStyle w:val="FontStyle40"/>
          <w:lang w:val="es-ES_tradnl" w:eastAsia="es-ES_tradnl"/>
        </w:rPr>
      </w:pPr>
      <w:r>
        <w:rPr>
          <w:rStyle w:val="FontStyle40"/>
          <w:lang w:val="es-ES_tradnl" w:eastAsia="es-ES_tradnl"/>
        </w:rPr>
        <w:t xml:space="preserve">Anexo N° 1. Formulario para presentación de reclamo ante la Superintendencia de Seguridad </w:t>
      </w:r>
      <w:r>
        <w:rPr>
          <w:rStyle w:val="FontStyle40"/>
          <w:lang w:val="es-ES_tradnl" w:eastAsia="es-ES_tradnl"/>
        </w:rPr>
        <w:t xml:space="preserve">Social, presentado por profesionales sancionados por la COMPIN en virtud del artículo </w:t>
      </w:r>
      <w:r>
        <w:rPr>
          <w:rStyle w:val="FontStyle39"/>
          <w:lang w:val="es-ES_tradnl" w:eastAsia="es-ES_tradnl"/>
        </w:rPr>
        <w:t xml:space="preserve">2° </w:t>
      </w:r>
      <w:r>
        <w:rPr>
          <w:rStyle w:val="FontStyle40"/>
          <w:lang w:val="es-ES_tradnl" w:eastAsia="es-ES_tradnl"/>
        </w:rPr>
        <w:t>inciso 2</w:t>
      </w:r>
      <w:r>
        <w:rPr>
          <w:rStyle w:val="FontStyle40"/>
          <w:vertAlign w:val="superscript"/>
          <w:lang w:val="es-ES_tradnl" w:eastAsia="es-ES_tradnl"/>
        </w:rPr>
        <w:t xml:space="preserve">o </w:t>
      </w:r>
      <w:r>
        <w:rPr>
          <w:rStyle w:val="FontStyle40"/>
          <w:lang w:val="es-ES_tradnl" w:eastAsia="es-ES_tradnl"/>
        </w:rPr>
        <w:t>de la Ley N° 20.585.......................................................................</w:t>
      </w:r>
      <w:r w:rsidR="00E52081">
        <w:rPr>
          <w:rStyle w:val="FontStyle40"/>
          <w:lang w:val="es-ES_tradnl" w:eastAsia="es-ES_tradnl"/>
        </w:rPr>
        <w:t>............</w:t>
      </w:r>
      <w:r>
        <w:rPr>
          <w:rStyle w:val="FontStyle40"/>
          <w:lang w:val="es-ES_tradnl" w:eastAsia="es-ES_tradnl"/>
        </w:rPr>
        <w:t>............................9</w:t>
      </w:r>
    </w:p>
    <w:p w:rsidR="00000000" w:rsidRDefault="00CE0A71" w:rsidP="00E52081">
      <w:pPr>
        <w:pStyle w:val="Style12"/>
        <w:widowControl/>
        <w:spacing w:before="120" w:after="120"/>
        <w:ind w:left="993" w:right="1138"/>
        <w:jc w:val="both"/>
        <w:rPr>
          <w:rStyle w:val="FontStyle44"/>
          <w:lang w:val="es-ES_tradnl" w:eastAsia="es-ES_tradnl"/>
        </w:rPr>
      </w:pPr>
      <w:r>
        <w:rPr>
          <w:rStyle w:val="FontStyle40"/>
          <w:lang w:val="es-ES_tradnl" w:eastAsia="es-ES_tradnl"/>
        </w:rPr>
        <w:t>Anexo N° 2. Formulario para presentación de denuncia ante la Superintendencia de Seguridad Social, respecto de un profesional habilitado para otorgar licencias médicas que emita licencias con evidente ausencia de fundamento médico..........................</w:t>
      </w:r>
      <w:r>
        <w:rPr>
          <w:rStyle w:val="FontStyle40"/>
          <w:lang w:val="es-ES_tradnl" w:eastAsia="es-ES_tradnl"/>
        </w:rPr>
        <w:t>..............</w:t>
      </w:r>
      <w:r w:rsidR="00E52081">
        <w:rPr>
          <w:rStyle w:val="FontStyle40"/>
          <w:lang w:val="es-ES_tradnl" w:eastAsia="es-ES_tradnl"/>
        </w:rPr>
        <w:t>...</w:t>
      </w:r>
      <w:r>
        <w:rPr>
          <w:rStyle w:val="FontStyle40"/>
          <w:lang w:val="es-ES_tradnl" w:eastAsia="es-ES_tradnl"/>
        </w:rPr>
        <w:t>...................................</w:t>
      </w:r>
      <w:r>
        <w:rPr>
          <w:rStyle w:val="FontStyle44"/>
          <w:lang w:val="es-ES_tradnl" w:eastAsia="es-ES_tradnl"/>
        </w:rPr>
        <w:t>10</w:t>
      </w:r>
    </w:p>
    <w:p w:rsidR="00000000" w:rsidRDefault="00CE0A71" w:rsidP="00E52081">
      <w:pPr>
        <w:pStyle w:val="Style12"/>
        <w:widowControl/>
        <w:spacing w:before="120" w:after="120"/>
        <w:ind w:left="993" w:right="1138"/>
        <w:jc w:val="both"/>
        <w:rPr>
          <w:rStyle w:val="FontStyle44"/>
          <w:lang w:val="es-ES_tradnl" w:eastAsia="es-ES_tradnl"/>
        </w:rPr>
      </w:pPr>
      <w:r>
        <w:rPr>
          <w:rStyle w:val="FontStyle40"/>
          <w:lang w:val="es-ES_tradnl" w:eastAsia="es-ES_tradnl"/>
        </w:rPr>
        <w:t>Anexo N° 3. Formulario para presentación de denuncia ante la Superintendencia de Seguridad Social, por parte de un afiliado a Isapre, en contra del contralor médico de dicha instituc</w:t>
      </w:r>
      <w:r>
        <w:rPr>
          <w:rStyle w:val="FontStyle40"/>
          <w:lang w:val="es-ES_tradnl" w:eastAsia="es-ES_tradnl"/>
        </w:rPr>
        <w:t>ión en caso de rechazar o modificar una licencia médica sin justificación que respalde su resolución, o sin expresión de causa.................................................</w:t>
      </w:r>
      <w:r w:rsidR="00E52081">
        <w:rPr>
          <w:rStyle w:val="FontStyle40"/>
          <w:lang w:val="es-ES_tradnl" w:eastAsia="es-ES_tradnl"/>
        </w:rPr>
        <w:t>.....</w:t>
      </w:r>
      <w:r>
        <w:rPr>
          <w:rStyle w:val="FontStyle40"/>
          <w:lang w:val="es-ES_tradnl" w:eastAsia="es-ES_tradnl"/>
        </w:rPr>
        <w:t>.............................................................</w:t>
      </w:r>
      <w:r>
        <w:rPr>
          <w:rStyle w:val="FontStyle40"/>
          <w:lang w:val="es-ES_tradnl" w:eastAsia="es-ES_tradnl"/>
        </w:rPr>
        <w:t>...</w:t>
      </w:r>
      <w:r>
        <w:rPr>
          <w:rStyle w:val="FontStyle44"/>
          <w:lang w:val="es-ES_tradnl" w:eastAsia="es-ES_tradnl"/>
        </w:rPr>
        <w:t>11</w:t>
      </w: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E52081" w:rsidRDefault="00E52081" w:rsidP="00E52081">
      <w:pPr>
        <w:pStyle w:val="Style12"/>
        <w:widowControl/>
        <w:spacing w:before="120" w:after="120"/>
        <w:ind w:left="993" w:right="1138"/>
        <w:jc w:val="both"/>
        <w:rPr>
          <w:rStyle w:val="FontStyle40"/>
          <w:lang w:val="es-ES_tradnl" w:eastAsia="es-ES_tradnl"/>
        </w:rPr>
      </w:pPr>
    </w:p>
    <w:p w:rsidR="00000000" w:rsidRDefault="00CE0A71" w:rsidP="00E52081">
      <w:pPr>
        <w:pStyle w:val="Style12"/>
        <w:widowControl/>
        <w:spacing w:before="120" w:after="120"/>
        <w:ind w:left="993" w:right="1138"/>
        <w:jc w:val="right"/>
        <w:rPr>
          <w:rStyle w:val="FontStyle40"/>
          <w:lang w:val="es-ES_tradnl" w:eastAsia="es-ES_tradnl"/>
        </w:rPr>
      </w:pPr>
      <w:r>
        <w:rPr>
          <w:rStyle w:val="FontStyle40"/>
          <w:lang w:val="es-ES_tradnl" w:eastAsia="es-ES_tradnl"/>
        </w:rPr>
        <w:fldChar w:fldCharType="begin"/>
      </w:r>
      <w:r>
        <w:rPr>
          <w:rStyle w:val="FontStyle40"/>
          <w:lang w:val="es-ES_tradnl" w:eastAsia="es-ES_tradnl"/>
        </w:rPr>
        <w:instrText>PAGE</w:instrText>
      </w:r>
      <w:r>
        <w:rPr>
          <w:rStyle w:val="FontStyle40"/>
          <w:lang w:val="es-ES_tradnl" w:eastAsia="es-ES_tradnl"/>
        </w:rPr>
        <w:fldChar w:fldCharType="separate"/>
      </w:r>
      <w:r>
        <w:rPr>
          <w:rStyle w:val="FontStyle40"/>
          <w:lang w:val="es-ES_tradnl" w:eastAsia="es-ES_tradnl"/>
        </w:rPr>
        <w:t>2</w:t>
      </w:r>
      <w:r>
        <w:rPr>
          <w:rStyle w:val="FontStyle40"/>
          <w:lang w:val="es-ES_tradnl" w:eastAsia="es-ES_tradnl"/>
        </w:rPr>
        <w:fldChar w:fldCharType="end"/>
      </w:r>
    </w:p>
    <w:p w:rsidR="00E52081" w:rsidRDefault="00860C52" w:rsidP="00E52081">
      <w:pPr>
        <w:pStyle w:val="Style14"/>
        <w:widowControl/>
        <w:spacing w:before="120" w:after="240"/>
        <w:ind w:left="993" w:right="1138"/>
        <w:jc w:val="both"/>
        <w:rPr>
          <w:rStyle w:val="FontStyle42"/>
          <w:lang w:val="es-ES_tradnl" w:eastAsia="es-ES_tradnl"/>
        </w:rPr>
      </w:pPr>
      <w:r>
        <w:rPr>
          <w:rStyle w:val="FontStyle42"/>
          <w:lang w:val="es-ES_tradnl" w:eastAsia="es-ES_tradnl"/>
        </w:rPr>
        <w:br w:type="page"/>
      </w:r>
    </w:p>
    <w:p w:rsidR="00000000" w:rsidRDefault="00CE0A71" w:rsidP="00E52081">
      <w:pPr>
        <w:pStyle w:val="Style14"/>
        <w:widowControl/>
        <w:spacing w:before="120" w:after="240"/>
        <w:ind w:left="993" w:right="1138"/>
        <w:jc w:val="both"/>
        <w:rPr>
          <w:rStyle w:val="FontStyle42"/>
          <w:lang w:val="es-ES_tradnl" w:eastAsia="es-ES_tradnl"/>
        </w:rPr>
      </w:pPr>
      <w:r>
        <w:rPr>
          <w:rStyle w:val="FontStyle42"/>
          <w:lang w:val="es-ES_tradnl" w:eastAsia="es-ES_tradnl"/>
        </w:rPr>
        <w:t>En el Diario Oficial N°40.259. de 11 de mayo de 2012, se publicó la Ley N°20.585. que establece regulaciones que permitan asegurar el otorgamiento y uso correcto de las licencias médicas y una adecuada protecció</w:t>
      </w:r>
      <w:r>
        <w:rPr>
          <w:rStyle w:val="FontStyle42"/>
          <w:lang w:val="es-ES_tradnl" w:eastAsia="es-ES_tradnl"/>
        </w:rPr>
        <w:t>n al cotizante y beneficiarios de las Instituciones de Salud Previsional y del Fondo Nacional de Salud, mediante la aplicación de medidas de control y fiscalización, y de sanciones respecto de las conductas fraudulentas, ilegales o abusivas relacionadas co</w:t>
      </w:r>
      <w:r>
        <w:rPr>
          <w:rStyle w:val="FontStyle42"/>
          <w:lang w:val="es-ES_tradnl" w:eastAsia="es-ES_tradnl"/>
        </w:rPr>
        <w:t>n dicho instrumento.</w:t>
      </w:r>
    </w:p>
    <w:p w:rsidR="00E52081" w:rsidRDefault="00E52081" w:rsidP="00E52081">
      <w:pPr>
        <w:pStyle w:val="Style14"/>
        <w:widowControl/>
        <w:spacing w:before="120" w:after="240"/>
        <w:ind w:left="993" w:right="1138"/>
        <w:jc w:val="both"/>
        <w:rPr>
          <w:rStyle w:val="FontStyle42"/>
          <w:lang w:val="es-ES_tradnl" w:eastAsia="es-ES_tradnl"/>
        </w:rPr>
      </w:pPr>
    </w:p>
    <w:p w:rsidR="00000000" w:rsidRDefault="00CE0A71" w:rsidP="00E52081">
      <w:pPr>
        <w:pStyle w:val="Style14"/>
        <w:widowControl/>
        <w:spacing w:before="120" w:after="240"/>
        <w:ind w:left="993" w:right="1138"/>
        <w:jc w:val="both"/>
        <w:rPr>
          <w:rStyle w:val="FontStyle42"/>
          <w:lang w:val="es-ES_tradnl" w:eastAsia="es-ES_tradnl"/>
        </w:rPr>
      </w:pPr>
      <w:r>
        <w:rPr>
          <w:rStyle w:val="FontStyle42"/>
          <w:lang w:val="es-ES_tradnl" w:eastAsia="es-ES_tradnl"/>
        </w:rPr>
        <w:t>A fin de velar por el correcto uso y otorgamiento de las licencias médicas, esta normativa confiere principalmente competencias a las COMPIN y a este Servicio.</w:t>
      </w:r>
    </w:p>
    <w:p w:rsidR="00000000" w:rsidRDefault="00CE0A71" w:rsidP="00E52081">
      <w:pPr>
        <w:pStyle w:val="Style14"/>
        <w:widowControl/>
        <w:spacing w:before="120" w:after="240"/>
        <w:ind w:left="993" w:right="1138"/>
        <w:jc w:val="both"/>
        <w:rPr>
          <w:rStyle w:val="FontStyle42"/>
          <w:lang w:val="es-ES_tradnl" w:eastAsia="es-ES_tradnl"/>
        </w:rPr>
      </w:pPr>
      <w:r>
        <w:rPr>
          <w:rStyle w:val="FontStyle42"/>
          <w:lang w:val="es-ES_tradnl" w:eastAsia="es-ES_tradnl"/>
        </w:rPr>
        <w:t>La Superintendencia de Seguridad Social, en ejercicio de las atribuciones l</w:t>
      </w:r>
      <w:r>
        <w:rPr>
          <w:rStyle w:val="FontStyle42"/>
          <w:lang w:val="es-ES_tradnl" w:eastAsia="es-ES_tradnl"/>
        </w:rPr>
        <w:t>egales contempladas en las Leyes N°s 16.395 y 20.585, ha estimado pertinente impartir las siguientes instrucciones:</w:t>
      </w:r>
    </w:p>
    <w:p w:rsidR="00E52081" w:rsidRDefault="00E52081" w:rsidP="00E52081">
      <w:pPr>
        <w:pStyle w:val="Style14"/>
        <w:widowControl/>
        <w:spacing w:before="120" w:after="240"/>
        <w:ind w:left="993" w:right="1138"/>
        <w:jc w:val="both"/>
        <w:rPr>
          <w:rStyle w:val="FontStyle42"/>
          <w:lang w:val="es-ES_tradnl" w:eastAsia="es-ES_tradnl"/>
        </w:rPr>
      </w:pPr>
    </w:p>
    <w:p w:rsidR="00E52081" w:rsidRPr="00E52081" w:rsidRDefault="00E52081" w:rsidP="00E52081">
      <w:pPr>
        <w:pStyle w:val="Style15"/>
        <w:widowControl/>
        <w:numPr>
          <w:ilvl w:val="0"/>
          <w:numId w:val="2"/>
        </w:numPr>
        <w:spacing w:before="120" w:after="240"/>
        <w:ind w:left="993" w:right="1138"/>
        <w:jc w:val="both"/>
        <w:rPr>
          <w:rStyle w:val="FontStyle41"/>
          <w:lang w:val="es-ES_tradnl" w:eastAsia="es-ES_tradnl"/>
        </w:rPr>
      </w:pPr>
      <w:r>
        <w:rPr>
          <w:rStyle w:val="FontStyle41"/>
          <w:lang w:val="es-ES_tradnl" w:eastAsia="es-ES_tradnl"/>
        </w:rPr>
        <w:t xml:space="preserve">   </w:t>
      </w:r>
      <w:r w:rsidR="00CE0A71">
        <w:rPr>
          <w:rStyle w:val="FontStyle41"/>
          <w:lang w:val="es-ES_tradnl" w:eastAsia="es-ES_tradnl"/>
        </w:rPr>
        <w:t>Funciones otorgadas por la Ley N° 20.585 a las COMPIN, en la relativo a aplicar sanciones a profesionales que emiten licencias médica</w:t>
      </w:r>
      <w:r w:rsidR="00CE0A71">
        <w:rPr>
          <w:rStyle w:val="FontStyle41"/>
          <w:lang w:val="es-ES_tradnl" w:eastAsia="es-ES_tradnl"/>
        </w:rPr>
        <w:t>s.</w:t>
      </w:r>
    </w:p>
    <w:p w:rsidR="00000000" w:rsidRDefault="00CE0A71" w:rsidP="00E52081">
      <w:pPr>
        <w:pStyle w:val="Style14"/>
        <w:widowControl/>
        <w:spacing w:before="120" w:after="240"/>
        <w:ind w:left="993" w:right="1138"/>
        <w:jc w:val="both"/>
        <w:rPr>
          <w:rStyle w:val="FontStyle42"/>
          <w:lang w:val="es-ES_tradnl" w:eastAsia="es-ES_tradnl"/>
        </w:rPr>
      </w:pPr>
      <w:r>
        <w:rPr>
          <w:rStyle w:val="FontStyle42"/>
          <w:lang w:val="es-ES_tradnl" w:eastAsia="es-ES_tradnl"/>
        </w:rPr>
        <w:t xml:space="preserve">De acuerdo a lo dispuesto en el artículo </w:t>
      </w:r>
      <w:r>
        <w:rPr>
          <w:rStyle w:val="FontStyle35"/>
          <w:lang w:val="es-ES_tradnl" w:eastAsia="es-ES_tradnl"/>
        </w:rPr>
        <w:t xml:space="preserve">2° </w:t>
      </w:r>
      <w:r>
        <w:rPr>
          <w:rStyle w:val="FontStyle42"/>
          <w:lang w:val="es-ES_tradnl" w:eastAsia="es-ES_tradnl"/>
        </w:rPr>
        <w:t>de la Ley N°20.585, las Comisiones de Medicina Preventiva e Invalidez podrán solicitar a los profesionales que emitan licencias médicas que se encuentren sometidas a su conocimiento, la entrega o remisión de l</w:t>
      </w:r>
      <w:r>
        <w:rPr>
          <w:rStyle w:val="FontStyle42"/>
          <w:lang w:val="es-ES_tradnl" w:eastAsia="es-ES_tradnl"/>
        </w:rPr>
        <w:t>os antecedentes o informes complementarios que las respalden y, en casos excepcionales y por razones fundadas, los citará a una entrevista para aclarar aspectos de su otorgamiento.</w:t>
      </w:r>
    </w:p>
    <w:p w:rsidR="00000000" w:rsidRDefault="00CE0A71" w:rsidP="00E52081">
      <w:pPr>
        <w:pStyle w:val="Style14"/>
        <w:widowControl/>
        <w:spacing w:before="120" w:after="240"/>
        <w:ind w:left="993" w:right="1138"/>
        <w:jc w:val="both"/>
        <w:rPr>
          <w:rStyle w:val="FontStyle42"/>
          <w:lang w:val="es-ES_tradnl" w:eastAsia="es-ES_tradnl"/>
        </w:rPr>
      </w:pPr>
      <w:r>
        <w:rPr>
          <w:rStyle w:val="FontStyle42"/>
          <w:lang w:val="es-ES_tradnl" w:eastAsia="es-ES_tradnl"/>
        </w:rPr>
        <w:t>En caso que el profesional no asista en forma injustificada y repetida a la</w:t>
      </w:r>
      <w:r>
        <w:rPr>
          <w:rStyle w:val="FontStyle42"/>
          <w:lang w:val="es-ES_tradnl" w:eastAsia="es-ES_tradnl"/>
        </w:rPr>
        <w:t xml:space="preserve">s citaciones, como también cuando se niegue reiteradamente a la entrega o no remita los antecedentes solicitados, en los plazos que se le hayan fijado al efecto, los que no podrán exceder de siete días corridos, la Comisión respectiva, mediante resolución </w:t>
      </w:r>
      <w:r>
        <w:rPr>
          <w:rStyle w:val="FontStyle42"/>
          <w:lang w:val="es-ES_tradnl" w:eastAsia="es-ES_tradnl"/>
        </w:rPr>
        <w:t>fundada, podrá sancionarlo con mullas a beneficio fiscal de hasta 10 unidades tributarias mensuales.</w:t>
      </w:r>
    </w:p>
    <w:p w:rsidR="00000000" w:rsidRDefault="00CE0A71" w:rsidP="00E52081">
      <w:pPr>
        <w:pStyle w:val="Style14"/>
        <w:widowControl/>
        <w:spacing w:before="120" w:after="240"/>
        <w:ind w:left="993" w:right="1138"/>
        <w:jc w:val="both"/>
        <w:rPr>
          <w:rStyle w:val="FontStyle42"/>
          <w:lang w:val="es-ES_tradnl" w:eastAsia="es-ES_tradnl"/>
        </w:rPr>
      </w:pPr>
      <w:r>
        <w:rPr>
          <w:rStyle w:val="FontStyle42"/>
          <w:lang w:val="es-ES_tradnl" w:eastAsia="es-ES_tradnl"/>
        </w:rPr>
        <w:t>Además, en casos calificados por la referida Comisión, podrá suspenderse tanto la venta de formularios de licencias médicas, como la facultad para emitirla</w:t>
      </w:r>
      <w:r>
        <w:rPr>
          <w:rStyle w:val="FontStyle42"/>
          <w:lang w:val="es-ES_tradnl" w:eastAsia="es-ES_tradnl"/>
        </w:rPr>
        <w:t>s, hasta por 15 días. Dicha suspensión podrá renovarse mientras persista la conducta del profesional.</w:t>
      </w:r>
    </w:p>
    <w:p w:rsidR="00000000" w:rsidRDefault="00CE0A71" w:rsidP="00E52081">
      <w:pPr>
        <w:pStyle w:val="Style14"/>
        <w:widowControl/>
        <w:spacing w:before="120" w:after="240"/>
        <w:ind w:left="993" w:right="1138"/>
        <w:jc w:val="both"/>
        <w:rPr>
          <w:rStyle w:val="FontStyle42"/>
          <w:lang w:val="es-ES_tradnl" w:eastAsia="es-ES_tradnl"/>
        </w:rPr>
      </w:pPr>
      <w:r>
        <w:rPr>
          <w:rStyle w:val="FontStyle42"/>
          <w:lang w:val="es-ES_tradnl" w:eastAsia="es-ES_tradnl"/>
        </w:rPr>
        <w:t xml:space="preserve">En contra de lo resuelto por la COMPIN respectiva, el profesional podrá reclamar ante la Superintendencia de Seguridad Social, dentro del plazo de 5 días </w:t>
      </w:r>
      <w:r>
        <w:rPr>
          <w:rStyle w:val="FontStyle42"/>
          <w:lang w:val="es-ES_tradnl" w:eastAsia="es-ES_tradnl"/>
        </w:rPr>
        <w:t>hábiles, contados desde la respectiva notificación por carta certificada de la sanción aplicada.</w:t>
      </w:r>
    </w:p>
    <w:p w:rsidR="00000000" w:rsidRDefault="00CE0A71" w:rsidP="00E52081">
      <w:pPr>
        <w:pStyle w:val="Style14"/>
        <w:widowControl/>
        <w:spacing w:before="120" w:after="240"/>
        <w:ind w:left="993" w:right="1138"/>
        <w:jc w:val="both"/>
        <w:rPr>
          <w:rStyle w:val="FontStyle42"/>
          <w:lang w:val="es-ES_tradnl" w:eastAsia="es-ES_tradnl"/>
        </w:rPr>
      </w:pPr>
      <w:r>
        <w:rPr>
          <w:rStyle w:val="FontStyle42"/>
          <w:lang w:val="es-ES_tradnl" w:eastAsia="es-ES_tradnl"/>
        </w:rPr>
        <w:t>Con la finalidad de facilitar el reclamo del profesional sancionado por una COMPIN en virtud de lo previsto en el aludido artículo 2</w:t>
      </w:r>
      <w:r>
        <w:rPr>
          <w:rStyle w:val="FontStyle42"/>
          <w:vertAlign w:val="superscript"/>
          <w:lang w:val="es-ES_tradnl" w:eastAsia="es-ES_tradnl"/>
        </w:rPr>
        <w:t>o</w:t>
      </w:r>
      <w:r>
        <w:rPr>
          <w:rStyle w:val="FontStyle42"/>
          <w:lang w:val="es-ES_tradnl" w:eastAsia="es-ES_tradnl"/>
        </w:rPr>
        <w:t xml:space="preserve">. un formulario de reclamo se encontrará disponible en el sitio web </w:t>
      </w:r>
      <w:r>
        <w:rPr>
          <w:rStyle w:val="FontStyle42"/>
          <w:u w:val="single"/>
          <w:lang w:val="es-ES_tradnl" w:eastAsia="es-ES_tradnl"/>
        </w:rPr>
        <w:t>wwvv.suseso.cl</w:t>
      </w:r>
      <w:r>
        <w:rPr>
          <w:rStyle w:val="FontStyle42"/>
          <w:lang w:val="es-ES_tradnl" w:eastAsia="es-ES_tradnl"/>
        </w:rPr>
        <w:t>, el que se acompaña en el Anexo N°l de esta Circular.</w:t>
      </w:r>
    </w:p>
    <w:p w:rsidR="00E52081" w:rsidRDefault="00E52081" w:rsidP="00E52081">
      <w:pPr>
        <w:pStyle w:val="Style12"/>
        <w:widowControl/>
        <w:spacing w:before="120" w:after="240"/>
        <w:jc w:val="right"/>
        <w:rPr>
          <w:rStyle w:val="FontStyle40"/>
          <w:lang w:val="es-ES_tradnl" w:eastAsia="es-ES_tradnl"/>
        </w:rPr>
      </w:pPr>
    </w:p>
    <w:p w:rsidR="00E52081" w:rsidRDefault="00E52081" w:rsidP="00E52081">
      <w:pPr>
        <w:pStyle w:val="Style12"/>
        <w:widowControl/>
        <w:spacing w:before="120" w:after="240"/>
        <w:jc w:val="right"/>
        <w:rPr>
          <w:rStyle w:val="FontStyle40"/>
          <w:lang w:val="es-ES_tradnl" w:eastAsia="es-ES_tradnl"/>
        </w:rPr>
      </w:pPr>
    </w:p>
    <w:p w:rsidR="00E52081" w:rsidRDefault="00E52081" w:rsidP="00E52081">
      <w:pPr>
        <w:pStyle w:val="Style12"/>
        <w:widowControl/>
        <w:spacing w:before="120" w:after="240"/>
        <w:jc w:val="right"/>
        <w:rPr>
          <w:rStyle w:val="FontStyle40"/>
          <w:lang w:val="es-ES_tradnl" w:eastAsia="es-ES_tradnl"/>
        </w:rPr>
      </w:pPr>
    </w:p>
    <w:p w:rsidR="00000000" w:rsidRDefault="00CE0A71" w:rsidP="00E52081">
      <w:pPr>
        <w:pStyle w:val="Style12"/>
        <w:widowControl/>
        <w:spacing w:before="120" w:after="240"/>
        <w:jc w:val="right"/>
        <w:rPr>
          <w:rStyle w:val="FontStyle40"/>
          <w:lang w:val="es-ES_tradnl" w:eastAsia="es-ES_tradnl"/>
        </w:rPr>
      </w:pPr>
      <w:r>
        <w:rPr>
          <w:rStyle w:val="FontStyle40"/>
          <w:lang w:val="es-ES_tradnl" w:eastAsia="es-ES_tradnl"/>
        </w:rPr>
        <w:fldChar w:fldCharType="begin"/>
      </w:r>
      <w:r>
        <w:rPr>
          <w:rStyle w:val="FontStyle40"/>
          <w:lang w:val="es-ES_tradnl" w:eastAsia="es-ES_tradnl"/>
        </w:rPr>
        <w:instrText>PAGE</w:instrText>
      </w:r>
      <w:r>
        <w:rPr>
          <w:rStyle w:val="FontStyle40"/>
          <w:lang w:val="es-ES_tradnl" w:eastAsia="es-ES_tradnl"/>
        </w:rPr>
        <w:fldChar w:fldCharType="separate"/>
      </w:r>
      <w:r>
        <w:rPr>
          <w:rStyle w:val="FontStyle40"/>
          <w:lang w:val="es-ES_tradnl" w:eastAsia="es-ES_tradnl"/>
        </w:rPr>
        <w:t>3</w:t>
      </w:r>
      <w:r>
        <w:rPr>
          <w:rStyle w:val="FontStyle40"/>
          <w:lang w:val="es-ES_tradnl" w:eastAsia="es-ES_tradnl"/>
        </w:rPr>
        <w:fldChar w:fldCharType="end"/>
      </w:r>
    </w:p>
    <w:p w:rsidR="0022076A" w:rsidRDefault="00860C52" w:rsidP="0022076A">
      <w:pPr>
        <w:pStyle w:val="Style17"/>
        <w:widowControl/>
        <w:ind w:left="993" w:right="1138" w:hanging="709"/>
        <w:jc w:val="both"/>
        <w:rPr>
          <w:rStyle w:val="FontStyle41"/>
          <w:lang w:val="es-ES_tradnl" w:eastAsia="es-ES_tradnl"/>
        </w:rPr>
      </w:pPr>
      <w:r>
        <w:rPr>
          <w:rStyle w:val="FontStyle41"/>
          <w:lang w:val="es-ES_tradnl" w:eastAsia="es-ES_tradnl"/>
        </w:rPr>
        <w:br w:type="page"/>
      </w:r>
    </w:p>
    <w:p w:rsidR="0022076A" w:rsidRDefault="0022076A" w:rsidP="0022076A">
      <w:pPr>
        <w:pStyle w:val="Style17"/>
        <w:widowControl/>
        <w:ind w:left="993" w:right="1138" w:hanging="709"/>
        <w:jc w:val="both"/>
        <w:rPr>
          <w:rStyle w:val="FontStyle41"/>
          <w:lang w:val="es-ES_tradnl" w:eastAsia="es-ES_tradnl"/>
        </w:rPr>
      </w:pPr>
    </w:p>
    <w:p w:rsidR="0022076A" w:rsidRDefault="0022076A" w:rsidP="0022076A">
      <w:pPr>
        <w:pStyle w:val="Style17"/>
        <w:widowControl/>
        <w:ind w:left="993" w:right="1138" w:hanging="709"/>
        <w:jc w:val="both"/>
        <w:rPr>
          <w:rStyle w:val="FontStyle41"/>
          <w:lang w:val="es-ES_tradnl" w:eastAsia="es-ES_tradnl"/>
        </w:rPr>
      </w:pPr>
    </w:p>
    <w:p w:rsidR="0022076A" w:rsidRDefault="0022076A" w:rsidP="0022076A">
      <w:pPr>
        <w:pStyle w:val="Style17"/>
        <w:widowControl/>
        <w:ind w:left="993" w:right="1138" w:hanging="709"/>
        <w:jc w:val="both"/>
        <w:rPr>
          <w:rStyle w:val="FontStyle41"/>
          <w:lang w:val="es-ES_tradnl" w:eastAsia="es-ES_tradnl"/>
        </w:rPr>
      </w:pPr>
    </w:p>
    <w:p w:rsidR="0022076A" w:rsidRDefault="0022076A" w:rsidP="0022076A">
      <w:pPr>
        <w:pStyle w:val="Style17"/>
        <w:widowControl/>
        <w:ind w:left="993" w:right="1138" w:hanging="709"/>
        <w:jc w:val="both"/>
        <w:rPr>
          <w:rStyle w:val="FontStyle41"/>
          <w:lang w:val="es-ES_tradnl" w:eastAsia="es-ES_tradnl"/>
        </w:rPr>
      </w:pPr>
    </w:p>
    <w:p w:rsidR="00000000" w:rsidRDefault="00CE0A71" w:rsidP="0022076A">
      <w:pPr>
        <w:pStyle w:val="Style17"/>
        <w:widowControl/>
        <w:ind w:left="993" w:right="1138" w:hanging="709"/>
        <w:jc w:val="both"/>
        <w:rPr>
          <w:rStyle w:val="FontStyle41"/>
          <w:lang w:val="es-ES_tradnl" w:eastAsia="es-ES_tradnl"/>
        </w:rPr>
      </w:pPr>
      <w:r>
        <w:rPr>
          <w:rStyle w:val="FontStyle41"/>
          <w:lang w:val="es-ES_tradnl" w:eastAsia="es-ES_tradnl"/>
        </w:rPr>
        <w:t xml:space="preserve">II. </w:t>
      </w:r>
      <w:r w:rsidR="00E52081">
        <w:rPr>
          <w:rStyle w:val="FontStyle41"/>
          <w:lang w:val="es-ES_tradnl" w:eastAsia="es-ES_tradnl"/>
        </w:rPr>
        <w:t xml:space="preserve">    </w:t>
      </w:r>
      <w:r>
        <w:rPr>
          <w:rStyle w:val="FontStyle41"/>
          <w:lang w:val="es-ES_tradnl" w:eastAsia="es-ES_tradnl"/>
        </w:rPr>
        <w:t>Funciones otorgadas por la Ley N° 20.585 a la Superintendencia de Seguridad Social, en lo relativo a inves</w:t>
      </w:r>
      <w:r>
        <w:rPr>
          <w:rStyle w:val="FontStyle41"/>
          <w:lang w:val="es-ES_tradnl" w:eastAsia="es-ES_tradnl"/>
        </w:rPr>
        <w:t>tigar denuncias.</w:t>
      </w:r>
    </w:p>
    <w:p w:rsidR="00000000" w:rsidRDefault="00CE0A71" w:rsidP="0022076A">
      <w:pPr>
        <w:pStyle w:val="Style18"/>
        <w:widowControl/>
        <w:spacing w:before="120" w:after="240"/>
        <w:ind w:left="992" w:right="1140"/>
        <w:jc w:val="both"/>
        <w:rPr>
          <w:rStyle w:val="FontStyle42"/>
          <w:lang w:val="es-ES_tradnl" w:eastAsia="es-ES_tradnl"/>
        </w:rPr>
      </w:pPr>
      <w:r>
        <w:rPr>
          <w:rStyle w:val="FontStyle42"/>
          <w:lang w:val="es-ES_tradnl" w:eastAsia="es-ES_tradnl"/>
        </w:rPr>
        <w:t>a) Conforme al artículo 5</w:t>
      </w:r>
      <w:r>
        <w:rPr>
          <w:rStyle w:val="FontStyle42"/>
          <w:vertAlign w:val="superscript"/>
          <w:lang w:val="es-ES_tradnl" w:eastAsia="es-ES_tradnl"/>
        </w:rPr>
        <w:t>o</w:t>
      </w:r>
      <w:r>
        <w:rPr>
          <w:rStyle w:val="FontStyle42"/>
          <w:lang w:val="es-ES_tradnl" w:eastAsia="es-ES_tradnl"/>
        </w:rPr>
        <w:t xml:space="preserve"> de la Ley N°20.585, en caso de que el profesional habilitado para otorgar licencias médicas emita licencias con evidente ausencia de fundamento médico, la Superintendencia de Seguridad Social, de oficio o a petic</w:t>
      </w:r>
      <w:r>
        <w:rPr>
          <w:rStyle w:val="FontStyle42"/>
          <w:lang w:val="es-ES_tradnl" w:eastAsia="es-ES_tradnl"/>
        </w:rPr>
        <w:t>ión de la Secretaría Regional Ministerial de Salud o de la Comisión de Medicina Preventiva e Invalidez respectiva, del Fondo Nacional de Salud o de una Institución de Salud Previsional o de cualquier particular, podrá, si existe mérito para ello, iniciar u</w:t>
      </w:r>
      <w:r>
        <w:rPr>
          <w:rStyle w:val="FontStyle42"/>
          <w:lang w:val="es-ES_tradnl" w:eastAsia="es-ES_tradnl"/>
        </w:rPr>
        <w:t>na investigación.</w:t>
      </w:r>
    </w:p>
    <w:p w:rsidR="00000000" w:rsidRDefault="00CE0A71" w:rsidP="0022076A">
      <w:pPr>
        <w:pStyle w:val="Style14"/>
        <w:widowControl/>
        <w:spacing w:before="120" w:after="240"/>
        <w:ind w:left="992" w:right="1140"/>
        <w:jc w:val="both"/>
        <w:rPr>
          <w:rStyle w:val="FontStyle42"/>
          <w:lang w:val="es-ES_tradnl" w:eastAsia="es-ES_tradnl"/>
        </w:rPr>
      </w:pPr>
      <w:r>
        <w:rPr>
          <w:rStyle w:val="FontStyle42"/>
          <w:lang w:val="es-ES_tradnl" w:eastAsia="es-ES_tradnl"/>
        </w:rPr>
        <w:t>El artículo 4</w:t>
      </w:r>
      <w:r>
        <w:rPr>
          <w:rStyle w:val="FontStyle42"/>
          <w:vertAlign w:val="superscript"/>
          <w:lang w:val="es-ES_tradnl" w:eastAsia="es-ES_tradnl"/>
        </w:rPr>
        <w:t>o</w:t>
      </w:r>
      <w:r>
        <w:rPr>
          <w:rStyle w:val="FontStyle42"/>
          <w:lang w:val="es-ES_tradnl" w:eastAsia="es-ES_tradnl"/>
        </w:rPr>
        <w:t xml:space="preserve"> de la Ley N°20.585. establece que un reglamento dictado a través del Ministerio de Salud, y suscrito además por el Ministro del Trabajo y Previsión Social, establecerá respecto de determinadas patologías, guías clínicas ref</w:t>
      </w:r>
      <w:r>
        <w:rPr>
          <w:rStyle w:val="FontStyle42"/>
          <w:lang w:val="es-ES_tradnl" w:eastAsia="es-ES_tradnl"/>
        </w:rPr>
        <w:t>erenciales relativas a los exámenes, informes y antecedentes que deberán respaldar la emisión de licencias médicas.</w:t>
      </w:r>
    </w:p>
    <w:p w:rsidR="00000000" w:rsidRDefault="00CE0A71" w:rsidP="0022076A">
      <w:pPr>
        <w:pStyle w:val="Style18"/>
        <w:widowControl/>
        <w:spacing w:before="120" w:after="240"/>
        <w:ind w:left="992" w:right="1140"/>
        <w:jc w:val="both"/>
        <w:rPr>
          <w:rStyle w:val="FontStyle42"/>
          <w:lang w:val="es-ES_tradnl" w:eastAsia="es-ES_tradnl"/>
        </w:rPr>
      </w:pPr>
      <w:r>
        <w:rPr>
          <w:rStyle w:val="FontStyle42"/>
          <w:lang w:val="es-ES_tradnl" w:eastAsia="es-ES_tradnl"/>
        </w:rPr>
        <w:t>b) Por su parte, el artículo 8</w:t>
      </w:r>
      <w:r>
        <w:rPr>
          <w:rStyle w:val="FontStyle42"/>
          <w:vertAlign w:val="superscript"/>
          <w:lang w:val="es-ES_tradnl" w:eastAsia="es-ES_tradnl"/>
        </w:rPr>
        <w:t>o</w:t>
      </w:r>
      <w:r>
        <w:rPr>
          <w:rStyle w:val="FontStyle42"/>
          <w:lang w:val="es-ES_tradnl" w:eastAsia="es-ES_tradnl"/>
        </w:rPr>
        <w:t xml:space="preserve"> del referido texto legal señala que el contralor médico de una Institución de Salud Previsional cuya función</w:t>
      </w:r>
      <w:r>
        <w:rPr>
          <w:rStyle w:val="FontStyle42"/>
          <w:lang w:val="es-ES_tradnl" w:eastAsia="es-ES_tradnl"/>
        </w:rPr>
        <w:t xml:space="preserve"> sea la autorización, modificación o rechazo de las licencias médicas, que ordene bajo su firma rechazar o modificar una licencia médica sin justificación que respalde su resolución, o sin expresión de causa, podrá ser denunciado por el afiliado afectado p</w:t>
      </w:r>
      <w:r>
        <w:rPr>
          <w:rStyle w:val="FontStyle42"/>
          <w:lang w:val="es-ES_tradnl" w:eastAsia="es-ES_tradnl"/>
        </w:rPr>
        <w:t>or la medida o por su representante ante la Superintendencia de Seguridad Social, a fin de que ésta realice una investigación de los hechos denunciados, debiendo tener a la vista los antecedentes, exámenes y evaluación presencial del paciente.</w:t>
      </w:r>
    </w:p>
    <w:p w:rsidR="00000000" w:rsidRDefault="00CE0A71" w:rsidP="0022076A">
      <w:pPr>
        <w:pStyle w:val="Style14"/>
        <w:widowControl/>
        <w:spacing w:before="120" w:after="240"/>
        <w:ind w:left="992" w:right="1140"/>
        <w:jc w:val="both"/>
        <w:rPr>
          <w:rStyle w:val="FontStyle42"/>
          <w:u w:val="single"/>
          <w:lang w:val="en-US" w:eastAsia="es-ES_tradnl"/>
        </w:rPr>
      </w:pPr>
      <w:r>
        <w:rPr>
          <w:rStyle w:val="FontStyle42"/>
          <w:lang w:val="es-ES_tradnl" w:eastAsia="es-ES_tradnl"/>
        </w:rPr>
        <w:t>En los casos</w:t>
      </w:r>
      <w:r>
        <w:rPr>
          <w:rStyle w:val="FontStyle42"/>
          <w:lang w:val="es-ES_tradnl" w:eastAsia="es-ES_tradnl"/>
        </w:rPr>
        <w:t xml:space="preserve"> previstos en la letra a) y b), se aplicará el procedimiento administrativo establecido en el artículo 5</w:t>
      </w:r>
      <w:r>
        <w:rPr>
          <w:rStyle w:val="FontStyle42"/>
          <w:vertAlign w:val="superscript"/>
          <w:lang w:val="es-ES_tradnl" w:eastAsia="es-ES_tradnl"/>
        </w:rPr>
        <w:t>o</w:t>
      </w:r>
      <w:r>
        <w:rPr>
          <w:rStyle w:val="FontStyle42"/>
          <w:lang w:val="es-ES_tradnl" w:eastAsia="es-ES_tradnl"/>
        </w:rPr>
        <w:t xml:space="preserve"> de la Ley N°20.585, publicado en el sitio web</w:t>
      </w:r>
      <w:r w:rsidRPr="00250AA8">
        <w:rPr>
          <w:rStyle w:val="FontStyle42"/>
          <w:lang w:eastAsia="es-ES_tradnl"/>
        </w:rPr>
        <w:t xml:space="preserve"> </w:t>
      </w:r>
      <w:hyperlink r:id="rId8" w:history="1">
        <w:r w:rsidRPr="00250AA8">
          <w:rPr>
            <w:rStyle w:val="Hipervnculo"/>
            <w:sz w:val="22"/>
            <w:szCs w:val="22"/>
            <w:lang w:eastAsia="es-ES_tradnl"/>
          </w:rPr>
          <w:t>www.suseso.cl</w:t>
        </w:r>
      </w:hyperlink>
    </w:p>
    <w:p w:rsidR="00E52081" w:rsidRPr="00250AA8" w:rsidRDefault="00E52081" w:rsidP="00E52081">
      <w:pPr>
        <w:pStyle w:val="Style14"/>
        <w:widowControl/>
        <w:ind w:left="993" w:right="1138"/>
        <w:jc w:val="both"/>
        <w:rPr>
          <w:rStyle w:val="FontStyle42"/>
          <w:u w:val="single"/>
          <w:lang w:eastAsia="es-ES_tradnl"/>
        </w:rPr>
      </w:pPr>
    </w:p>
    <w:p w:rsidR="00000000" w:rsidRDefault="00CE0A71" w:rsidP="0022076A">
      <w:pPr>
        <w:pStyle w:val="Style17"/>
        <w:widowControl/>
        <w:spacing w:before="120" w:after="240"/>
        <w:ind w:left="992" w:right="1140" w:hanging="709"/>
        <w:jc w:val="both"/>
        <w:rPr>
          <w:rStyle w:val="FontStyle41"/>
          <w:lang w:val="es-ES_tradnl" w:eastAsia="es-ES_tradnl"/>
        </w:rPr>
      </w:pPr>
      <w:r>
        <w:rPr>
          <w:rStyle w:val="FontStyle41"/>
          <w:lang w:val="es-ES_tradnl" w:eastAsia="es-ES_tradnl"/>
        </w:rPr>
        <w:t xml:space="preserve">III. </w:t>
      </w:r>
      <w:r w:rsidR="00E52081">
        <w:rPr>
          <w:rStyle w:val="FontStyle41"/>
          <w:lang w:val="es-ES_tradnl" w:eastAsia="es-ES_tradnl"/>
        </w:rPr>
        <w:t xml:space="preserve">    </w:t>
      </w:r>
      <w:r>
        <w:rPr>
          <w:rStyle w:val="FontStyle41"/>
          <w:lang w:val="es-ES_tradnl" w:eastAsia="es-ES_tradnl"/>
        </w:rPr>
        <w:t>Recepción de las denuncias efectuadas al amparo de</w:t>
      </w:r>
      <w:r>
        <w:rPr>
          <w:rStyle w:val="FontStyle41"/>
          <w:lang w:val="es-ES_tradnl" w:eastAsia="es-ES_tradnl"/>
        </w:rPr>
        <w:t xml:space="preserve"> la Ley N°20.585.</w:t>
      </w:r>
    </w:p>
    <w:p w:rsidR="00000000" w:rsidRDefault="00CE0A71" w:rsidP="0022076A">
      <w:pPr>
        <w:pStyle w:val="Style21"/>
        <w:widowControl/>
        <w:spacing w:before="120" w:after="240"/>
        <w:ind w:left="992" w:right="1140"/>
        <w:jc w:val="both"/>
        <w:rPr>
          <w:rStyle w:val="FontStyle42"/>
          <w:lang w:val="es-ES_tradnl" w:eastAsia="es-ES_tradnl"/>
        </w:rPr>
      </w:pPr>
      <w:r>
        <w:rPr>
          <w:rStyle w:val="FontStyle42"/>
          <w:lang w:val="es-ES_tradnl" w:eastAsia="es-ES_tradnl"/>
        </w:rPr>
        <w:t>1) Tratándose de aquellos casos en que se solicite investigar a un profesional que ha emitido licencias médicas con evidente ausencia de fundamento médico, de conformidad al artículo 5</w:t>
      </w:r>
      <w:r>
        <w:rPr>
          <w:rStyle w:val="FontStyle42"/>
          <w:vertAlign w:val="superscript"/>
          <w:lang w:val="es-ES_tradnl" w:eastAsia="es-ES_tradnl"/>
        </w:rPr>
        <w:t>o</w:t>
      </w:r>
      <w:r>
        <w:rPr>
          <w:rStyle w:val="FontStyle42"/>
          <w:lang w:val="es-ES_tradnl" w:eastAsia="es-ES_tradnl"/>
        </w:rPr>
        <w:t xml:space="preserve"> de la Ley N°20.585, la denuncia deberá ser ingresada</w:t>
      </w:r>
      <w:r>
        <w:rPr>
          <w:rStyle w:val="FontStyle42"/>
          <w:lang w:val="es-ES_tradnl" w:eastAsia="es-ES_tradnl"/>
        </w:rPr>
        <w:t xml:space="preserve"> por escrito en la Oficina de Partes de la Superintendencia de Seguridad Social o en la de aquellos organismos con los que exista convenio de atención al público. Asimismo, se aceptará la recepción de denuncias por medio de canales remotos (contacto web en</w:t>
      </w:r>
      <w:r>
        <w:rPr>
          <w:rStyle w:val="FontStyle42"/>
          <w:lang w:val="es-ES_tradnl" w:eastAsia="es-ES_tradnl"/>
        </w:rPr>
        <w:t xml:space="preserve"> el sitio de la Superintendencia o vía correspondencia), en tanto se cumpla con los requisitos de admisibilidad, reservándose la Superintendencia el derecho para solicitar que la denuncia sea ratificada por el denunciante.</w:t>
      </w:r>
    </w:p>
    <w:p w:rsidR="00000000" w:rsidRDefault="00CE0A71" w:rsidP="0022076A">
      <w:pPr>
        <w:pStyle w:val="Style14"/>
        <w:widowControl/>
        <w:spacing w:before="120" w:after="240"/>
        <w:ind w:left="992" w:right="1140"/>
        <w:jc w:val="both"/>
        <w:rPr>
          <w:rStyle w:val="FontStyle42"/>
          <w:lang w:val="es-ES_tradnl" w:eastAsia="es-ES_tradnl"/>
        </w:rPr>
      </w:pPr>
      <w:r>
        <w:rPr>
          <w:rStyle w:val="FontStyle42"/>
          <w:lang w:val="es-ES_tradnl" w:eastAsia="es-ES_tradnl"/>
        </w:rPr>
        <w:t>Para ser declaradas admisibles, l</w:t>
      </w:r>
      <w:r>
        <w:rPr>
          <w:rStyle w:val="FontStyle42"/>
          <w:lang w:val="es-ES_tradnl" w:eastAsia="es-ES_tradnl"/>
        </w:rPr>
        <w:t>as denuncias deberán contener, como mínimo, las menciones que se establecen a continuación:</w:t>
      </w:r>
    </w:p>
    <w:p w:rsidR="00000000" w:rsidRDefault="00CE0A71" w:rsidP="0022076A">
      <w:pPr>
        <w:pStyle w:val="Style20"/>
        <w:widowControl/>
        <w:spacing w:before="120" w:after="240"/>
        <w:ind w:left="1701" w:right="1140"/>
        <w:jc w:val="both"/>
        <w:rPr>
          <w:rStyle w:val="FontStyle42"/>
          <w:lang w:val="es-ES_tradnl" w:eastAsia="es-ES_tradnl"/>
        </w:rPr>
      </w:pPr>
      <w:r>
        <w:rPr>
          <w:rStyle w:val="FontStyle42"/>
          <w:lang w:val="es-ES_tradnl" w:eastAsia="es-ES_tradnl"/>
        </w:rPr>
        <w:t>a)   La individualización del denunciante, indicando, su nombre y apellido, Rut, y datos de contacto, tales como: domicilio, correo electrónico y teléfono.</w:t>
      </w:r>
    </w:p>
    <w:p w:rsidR="0022076A" w:rsidRDefault="0022076A" w:rsidP="0022076A">
      <w:pPr>
        <w:pStyle w:val="Style22"/>
        <w:widowControl/>
        <w:spacing w:before="120" w:after="240"/>
        <w:ind w:left="1701" w:right="1140"/>
        <w:jc w:val="right"/>
        <w:rPr>
          <w:rStyle w:val="FontStyle42"/>
          <w:b/>
          <w:lang w:val="es-ES_tradnl" w:eastAsia="es-ES_tradnl"/>
        </w:rPr>
      </w:pPr>
    </w:p>
    <w:p w:rsidR="0022076A" w:rsidRDefault="0022076A" w:rsidP="0022076A">
      <w:pPr>
        <w:pStyle w:val="Style22"/>
        <w:widowControl/>
        <w:spacing w:before="120" w:after="240"/>
        <w:ind w:left="1701" w:right="1140"/>
        <w:jc w:val="right"/>
        <w:rPr>
          <w:rStyle w:val="FontStyle42"/>
          <w:b/>
          <w:lang w:val="es-ES_tradnl" w:eastAsia="es-ES_tradnl"/>
        </w:rPr>
      </w:pPr>
    </w:p>
    <w:p w:rsidR="0022076A" w:rsidRDefault="0022076A" w:rsidP="0022076A">
      <w:pPr>
        <w:pStyle w:val="Style22"/>
        <w:widowControl/>
        <w:spacing w:before="120" w:after="240"/>
        <w:ind w:left="1701" w:right="1140"/>
        <w:jc w:val="right"/>
        <w:rPr>
          <w:rStyle w:val="FontStyle42"/>
          <w:b/>
          <w:lang w:val="es-ES_tradnl" w:eastAsia="es-ES_tradnl"/>
        </w:rPr>
      </w:pPr>
    </w:p>
    <w:p w:rsidR="0022076A" w:rsidRPr="0022076A" w:rsidRDefault="0022076A" w:rsidP="0022076A">
      <w:pPr>
        <w:pStyle w:val="Style22"/>
        <w:widowControl/>
        <w:spacing w:before="120" w:after="240"/>
        <w:ind w:left="1701" w:right="1140"/>
        <w:jc w:val="right"/>
        <w:rPr>
          <w:rStyle w:val="FontStyle42"/>
          <w:b/>
          <w:lang w:val="es-ES_tradnl" w:eastAsia="es-ES_tradnl"/>
        </w:rPr>
      </w:pPr>
      <w:r w:rsidRPr="0022076A">
        <w:rPr>
          <w:rStyle w:val="FontStyle42"/>
          <w:b/>
          <w:lang w:val="es-ES_tradnl" w:eastAsia="es-ES_tradnl"/>
        </w:rPr>
        <w:t>4</w:t>
      </w:r>
    </w:p>
    <w:p w:rsidR="0022076A" w:rsidRDefault="0022076A" w:rsidP="0022076A">
      <w:pPr>
        <w:pStyle w:val="Style22"/>
        <w:widowControl/>
        <w:spacing w:before="120" w:after="240"/>
        <w:ind w:left="1701" w:right="1140"/>
        <w:jc w:val="both"/>
        <w:rPr>
          <w:rStyle w:val="FontStyle42"/>
          <w:lang w:val="es-ES_tradnl" w:eastAsia="es-ES_tradnl"/>
        </w:rPr>
      </w:pPr>
    </w:p>
    <w:p w:rsidR="00000000" w:rsidRDefault="00CE0A71" w:rsidP="0022076A">
      <w:pPr>
        <w:pStyle w:val="Style22"/>
        <w:widowControl/>
        <w:spacing w:before="120" w:after="240"/>
        <w:ind w:left="1701" w:right="1140"/>
        <w:jc w:val="both"/>
        <w:rPr>
          <w:rStyle w:val="FontStyle42"/>
          <w:lang w:val="es-ES_tradnl" w:eastAsia="es-ES_tradnl"/>
        </w:rPr>
      </w:pPr>
      <w:r>
        <w:rPr>
          <w:rStyle w:val="FontStyle42"/>
          <w:lang w:val="es-ES_tradnl" w:eastAsia="es-ES_tradnl"/>
        </w:rPr>
        <w:t>b) La na</w:t>
      </w:r>
      <w:r>
        <w:rPr>
          <w:rStyle w:val="FontStyle42"/>
          <w:lang w:val="es-ES_tradnl" w:eastAsia="es-ES_tradnl"/>
        </w:rPr>
        <w:t>rración circunstanciada del hecho, que justifique la denuncia, señalando claramente las razones por las cuales considera que el profesional debe ser investigado, y los antecedentes de los cuales se desprende que la licencia médica fue otorgada con evidente</w:t>
      </w:r>
      <w:r>
        <w:rPr>
          <w:rStyle w:val="FontStyle42"/>
          <w:lang w:val="es-ES_tradnl" w:eastAsia="es-ES_tradnl"/>
        </w:rPr>
        <w:t xml:space="preserve"> ausencia de fundamento médico.</w:t>
      </w:r>
    </w:p>
    <w:p w:rsidR="00000000" w:rsidRDefault="00CE0A71" w:rsidP="0022076A">
      <w:pPr>
        <w:pStyle w:val="Style22"/>
        <w:widowControl/>
        <w:spacing w:before="120" w:after="240"/>
        <w:ind w:left="1701" w:right="1140"/>
        <w:jc w:val="both"/>
        <w:rPr>
          <w:rStyle w:val="FontStyle42"/>
          <w:lang w:val="es-ES_tradnl" w:eastAsia="es-ES_tradnl"/>
        </w:rPr>
      </w:pPr>
      <w:r>
        <w:rPr>
          <w:rStyle w:val="FontStyle42"/>
          <w:lang w:val="es-ES_tradnl" w:eastAsia="es-ES_tradnl"/>
        </w:rPr>
        <w:t>c) La individualización del profesional que otorgó la licencia médica, indicando, como mínimo, el nombre y apellido, domicilio, sea particular o laboral y, en caso de disponer de ellos. Rut y los datos de contacto de dicho p</w:t>
      </w:r>
      <w:r>
        <w:rPr>
          <w:rStyle w:val="FontStyle42"/>
          <w:lang w:val="es-ES_tradnl" w:eastAsia="es-ES_tradnl"/>
        </w:rPr>
        <w:t>rofesional, tales como: teléfono y correo electrónico.</w:t>
      </w:r>
    </w:p>
    <w:p w:rsidR="00000000" w:rsidRDefault="00CE0A71" w:rsidP="0022076A">
      <w:pPr>
        <w:pStyle w:val="Style22"/>
        <w:widowControl/>
        <w:spacing w:before="120" w:after="240"/>
        <w:ind w:left="1701" w:right="1140"/>
        <w:jc w:val="both"/>
        <w:rPr>
          <w:rStyle w:val="FontStyle42"/>
          <w:lang w:val="es-ES_tradnl" w:eastAsia="es-ES_tradnl"/>
        </w:rPr>
      </w:pPr>
      <w:r>
        <w:rPr>
          <w:rStyle w:val="FontStyle42"/>
          <w:lang w:val="es-ES_tradnl" w:eastAsia="es-ES_tradnl"/>
        </w:rPr>
        <w:t>d) En todo caso, deberá acompañarse fotocopia legible por ambos lados de la o las licencias médicas que fundamentan la denuncia.</w:t>
      </w:r>
    </w:p>
    <w:p w:rsidR="00000000" w:rsidRDefault="00CE0A71" w:rsidP="0022076A">
      <w:pPr>
        <w:pStyle w:val="Style14"/>
        <w:widowControl/>
        <w:spacing w:before="120" w:after="240"/>
        <w:ind w:left="1701" w:right="1140"/>
        <w:jc w:val="both"/>
        <w:rPr>
          <w:rStyle w:val="FontStyle42"/>
          <w:lang w:val="es-ES_tradnl" w:eastAsia="es-ES_tradnl"/>
        </w:rPr>
      </w:pPr>
      <w:r>
        <w:rPr>
          <w:rStyle w:val="FontStyle42"/>
          <w:lang w:val="es-ES_tradnl" w:eastAsia="es-ES_tradnl"/>
        </w:rPr>
        <w:t xml:space="preserve">Si la denuncia no cumple con los requisitos mínimos, esta circunstancia </w:t>
      </w:r>
      <w:r>
        <w:rPr>
          <w:rStyle w:val="FontStyle42"/>
          <w:lang w:val="es-ES_tradnl" w:eastAsia="es-ES_tradnl"/>
        </w:rPr>
        <w:t>será puesta en conocimiento del denunciante, a fin de requerirle que subsane las omisiones, en el plazo de 10 días hábiles. En caso contrario, la denuncia se tendrá por no presentada. Sin perjuicio de lo anterior, la Superintendencia de Seguridad Social po</w:t>
      </w:r>
      <w:r>
        <w:rPr>
          <w:rStyle w:val="FontStyle42"/>
          <w:lang w:val="es-ES_tradnl" w:eastAsia="es-ES_tradnl"/>
        </w:rPr>
        <w:t>drá resolver investigar de oficio los hechos denunciados, si existe mérito para ello.</w:t>
      </w:r>
    </w:p>
    <w:p w:rsidR="00000000" w:rsidRDefault="00CE0A71" w:rsidP="0022076A">
      <w:pPr>
        <w:pStyle w:val="Style14"/>
        <w:widowControl/>
        <w:spacing w:before="120" w:after="240"/>
        <w:ind w:left="1701" w:right="1140"/>
        <w:jc w:val="both"/>
        <w:rPr>
          <w:rStyle w:val="FontStyle42"/>
          <w:lang w:val="es-ES_tradnl" w:eastAsia="es-ES_tradnl"/>
        </w:rPr>
      </w:pPr>
      <w:r>
        <w:rPr>
          <w:rStyle w:val="FontStyle42"/>
          <w:lang w:val="es-ES_tradnl" w:eastAsia="es-ES_tradnl"/>
        </w:rPr>
        <w:t xml:space="preserve">Para facilitar estas denuncias, se acompaña en el Anexo N° 2 de esta Circular, un formulario que será puesto a disposición de los interesados en el sitio web \\ </w:t>
      </w:r>
      <w:r>
        <w:rPr>
          <w:rStyle w:val="FontStyle42"/>
          <w:u w:val="single"/>
          <w:lang w:val="es-ES_tradnl" w:eastAsia="es-ES_tradnl"/>
        </w:rPr>
        <w:t>ww.suseso</w:t>
      </w:r>
      <w:r>
        <w:rPr>
          <w:rStyle w:val="FontStyle42"/>
          <w:u w:val="single"/>
          <w:lang w:val="es-ES_tradnl" w:eastAsia="es-ES_tradnl"/>
        </w:rPr>
        <w:t>.cl</w:t>
      </w:r>
      <w:r>
        <w:rPr>
          <w:rStyle w:val="FontStyle42"/>
          <w:lang w:val="es-ES_tradnl" w:eastAsia="es-ES_tradnl"/>
        </w:rPr>
        <w:t>.</w:t>
      </w:r>
    </w:p>
    <w:p w:rsidR="00000000" w:rsidRDefault="00CE0A71" w:rsidP="0022076A">
      <w:pPr>
        <w:pStyle w:val="Style21"/>
        <w:widowControl/>
        <w:spacing w:before="120" w:after="240"/>
        <w:ind w:left="992" w:right="1140"/>
        <w:jc w:val="both"/>
        <w:rPr>
          <w:rStyle w:val="FontStyle42"/>
          <w:lang w:val="es-ES_tradnl" w:eastAsia="es-ES_tradnl"/>
        </w:rPr>
      </w:pPr>
      <w:r>
        <w:rPr>
          <w:rStyle w:val="FontStyle42"/>
          <w:lang w:val="es-ES_tradnl" w:eastAsia="es-ES_tradnl"/>
        </w:rPr>
        <w:t>2) Tratándose de los casos en que un afiliado a una Institución de Salud Previsional reclame en contra del contralor médico que ordene bajo su firma rechazar o modificar una licencia médica sin justificación que respalde su resolución, o sin expresión</w:t>
      </w:r>
      <w:r>
        <w:rPr>
          <w:rStyle w:val="FontStyle42"/>
          <w:lang w:val="es-ES_tradnl" w:eastAsia="es-ES_tradnl"/>
        </w:rPr>
        <w:t xml:space="preserve"> de causa, la denuncia deberá ser ingresada por escrito en la Oficina de Partes de la Superintendencia de Seguridad Social o en la de aquellos organismos con los que exista convenio de atención al público. Asimismo, se aceptará la recepción de denuncias po</w:t>
      </w:r>
      <w:r>
        <w:rPr>
          <w:rStyle w:val="FontStyle42"/>
          <w:lang w:val="es-ES_tradnl" w:eastAsia="es-ES_tradnl"/>
        </w:rPr>
        <w:t>r medio de canales remotos (contacto web en el sitio de la Superintendencia o vía correspondencia), en tanto se cumpla con los requisitos de admisibilidad, reservándose la Superintendencia el derecho para solicitar que la denuncia sea ratificada por el den</w:t>
      </w:r>
      <w:r>
        <w:rPr>
          <w:rStyle w:val="FontStyle42"/>
          <w:lang w:val="es-ES_tradnl" w:eastAsia="es-ES_tradnl"/>
        </w:rPr>
        <w:t>unciante. Cabe hacer presente que la finalidad de este procedimiento es la investigación y sanción de la conducta de un médico contralor de una Isapre. y no la autorización de la o las licencia(s) médica (s) propiamente tal (es), manteniéndose vigentes los</w:t>
      </w:r>
      <w:r>
        <w:rPr>
          <w:rStyle w:val="FontStyle42"/>
          <w:lang w:val="es-ES_tradnl" w:eastAsia="es-ES_tradnl"/>
        </w:rPr>
        <w:t xml:space="preserve"> actuales procedimientos de reclamo.</w:t>
      </w:r>
    </w:p>
    <w:p w:rsidR="00000000" w:rsidRDefault="00CE0A71" w:rsidP="00E52081">
      <w:pPr>
        <w:pStyle w:val="Style14"/>
        <w:widowControl/>
        <w:ind w:left="993" w:right="1138"/>
        <w:jc w:val="both"/>
        <w:rPr>
          <w:rStyle w:val="FontStyle42"/>
          <w:lang w:val="es-ES_tradnl" w:eastAsia="es-ES_tradnl"/>
        </w:rPr>
      </w:pPr>
      <w:r>
        <w:rPr>
          <w:rStyle w:val="FontStyle42"/>
          <w:lang w:val="es-ES_tradnl" w:eastAsia="es-ES_tradnl"/>
        </w:rPr>
        <w:t>Las denuncias de los afiliados a Isapre, para ser declaradas admisibles, deberán cumplir con los siguientes requisitos:</w:t>
      </w:r>
    </w:p>
    <w:p w:rsidR="0022076A" w:rsidRDefault="0022076A" w:rsidP="00E52081">
      <w:pPr>
        <w:pStyle w:val="Style14"/>
        <w:widowControl/>
        <w:ind w:left="993" w:right="1138"/>
        <w:jc w:val="both"/>
        <w:rPr>
          <w:rStyle w:val="FontStyle42"/>
          <w:lang w:val="es-ES_tradnl" w:eastAsia="es-ES_tradnl"/>
        </w:rPr>
      </w:pPr>
    </w:p>
    <w:p w:rsidR="00000000" w:rsidRDefault="00CE0A71" w:rsidP="0022076A">
      <w:pPr>
        <w:pStyle w:val="Style25"/>
        <w:widowControl/>
        <w:numPr>
          <w:ilvl w:val="0"/>
          <w:numId w:val="3"/>
        </w:numPr>
        <w:ind w:right="1138"/>
        <w:jc w:val="both"/>
        <w:rPr>
          <w:rStyle w:val="FontStyle42"/>
          <w:lang w:val="es-ES_tradnl" w:eastAsia="es-ES_tradnl"/>
        </w:rPr>
      </w:pPr>
      <w:r>
        <w:rPr>
          <w:rStyle w:val="FontStyle42"/>
          <w:lang w:val="es-ES_tradnl" w:eastAsia="es-ES_tradnl"/>
        </w:rPr>
        <w:t>La individualización del denunciante, indicando, como mí</w:t>
      </w:r>
      <w:r>
        <w:rPr>
          <w:rStyle w:val="FontStyle42"/>
          <w:lang w:val="es-ES_tradnl" w:eastAsia="es-ES_tradnl"/>
        </w:rPr>
        <w:t>nimo, su nombre y apellido, Rut, y datos de contacto, tales como: domicilio, correo electrónico y teléfono.</w:t>
      </w:r>
    </w:p>
    <w:p w:rsidR="0022076A" w:rsidRDefault="0022076A" w:rsidP="0022076A">
      <w:pPr>
        <w:pStyle w:val="Style25"/>
        <w:widowControl/>
        <w:ind w:left="1353" w:right="1138"/>
        <w:jc w:val="both"/>
        <w:rPr>
          <w:rStyle w:val="FontStyle42"/>
          <w:lang w:val="es-ES_tradnl" w:eastAsia="es-ES_tradnl"/>
        </w:rPr>
      </w:pPr>
    </w:p>
    <w:p w:rsidR="00000000" w:rsidRDefault="00CE0A71" w:rsidP="0022076A">
      <w:pPr>
        <w:pStyle w:val="Style25"/>
        <w:widowControl/>
        <w:numPr>
          <w:ilvl w:val="0"/>
          <w:numId w:val="3"/>
        </w:numPr>
        <w:ind w:right="1138"/>
        <w:jc w:val="both"/>
        <w:rPr>
          <w:rStyle w:val="FontStyle42"/>
          <w:lang w:val="es-ES_tradnl" w:eastAsia="es-ES_tradnl"/>
        </w:rPr>
      </w:pPr>
      <w:r>
        <w:rPr>
          <w:rStyle w:val="FontStyle42"/>
          <w:lang w:val="es-ES_tradnl" w:eastAsia="es-ES_tradnl"/>
        </w:rPr>
        <w:t>La individualización del profesional que otorgó la licencia médica, indicando, como mínimo, el nombre y apellido, e Isapre a la cual pertenece; y</w:t>
      </w:r>
      <w:r>
        <w:rPr>
          <w:rStyle w:val="FontStyle42"/>
          <w:lang w:val="es-ES_tradnl" w:eastAsia="es-ES_tradnl"/>
        </w:rPr>
        <w:t>, en caso de disponer de ellos, domicilio, sea particular o laboral, Rut y los datos de contacto de dicho profesional, tales como: teléfono y correo electrónico.</w:t>
      </w:r>
    </w:p>
    <w:p w:rsidR="0022076A" w:rsidRDefault="0022076A" w:rsidP="0022076A">
      <w:pPr>
        <w:pStyle w:val="Style25"/>
        <w:widowControl/>
        <w:ind w:left="1353" w:right="1138"/>
        <w:jc w:val="both"/>
        <w:rPr>
          <w:rStyle w:val="FontStyle42"/>
          <w:lang w:val="es-ES_tradnl" w:eastAsia="es-ES_tradnl"/>
        </w:rPr>
      </w:pPr>
    </w:p>
    <w:p w:rsidR="00000000" w:rsidRDefault="00CE0A71" w:rsidP="0022076A">
      <w:pPr>
        <w:pStyle w:val="Style25"/>
        <w:widowControl/>
        <w:numPr>
          <w:ilvl w:val="0"/>
          <w:numId w:val="3"/>
        </w:numPr>
        <w:ind w:right="1138"/>
        <w:jc w:val="both"/>
        <w:rPr>
          <w:rStyle w:val="FontStyle42"/>
          <w:lang w:val="es-ES_tradnl" w:eastAsia="es-ES_tradnl"/>
        </w:rPr>
      </w:pPr>
      <w:r>
        <w:rPr>
          <w:rStyle w:val="FontStyle42"/>
          <w:lang w:val="es-ES_tradnl" w:eastAsia="es-ES_tradnl"/>
        </w:rPr>
        <w:t>La fotocopia legible por ambos lados de la o las licencias médicas que fundamentan la denun</w:t>
      </w:r>
      <w:r>
        <w:rPr>
          <w:rStyle w:val="FontStyle42"/>
          <w:lang w:val="es-ES_tradnl" w:eastAsia="es-ES_tradnl"/>
        </w:rPr>
        <w:t>cia.</w:t>
      </w:r>
    </w:p>
    <w:p w:rsidR="0022076A" w:rsidRDefault="0022076A" w:rsidP="0022076A">
      <w:pPr>
        <w:pStyle w:val="Prrafodelista"/>
        <w:rPr>
          <w:rStyle w:val="FontStyle42"/>
          <w:lang w:val="es-ES_tradnl" w:eastAsia="es-ES_tradnl"/>
        </w:rPr>
      </w:pPr>
    </w:p>
    <w:p w:rsidR="0022076A" w:rsidRDefault="0022076A" w:rsidP="0022076A">
      <w:pPr>
        <w:pStyle w:val="Style25"/>
        <w:widowControl/>
        <w:ind w:right="1138"/>
        <w:jc w:val="both"/>
        <w:rPr>
          <w:rStyle w:val="FontStyle42"/>
          <w:lang w:val="es-ES_tradnl" w:eastAsia="es-ES_tradnl"/>
        </w:rPr>
      </w:pPr>
    </w:p>
    <w:p w:rsidR="0022076A" w:rsidRDefault="0022076A" w:rsidP="0022076A">
      <w:pPr>
        <w:pStyle w:val="Style25"/>
        <w:widowControl/>
        <w:ind w:right="1138"/>
        <w:jc w:val="right"/>
        <w:rPr>
          <w:rStyle w:val="FontStyle42"/>
          <w:lang w:val="es-ES_tradnl" w:eastAsia="es-ES_tradnl"/>
        </w:rPr>
      </w:pPr>
    </w:p>
    <w:p w:rsidR="0022076A" w:rsidRDefault="0022076A" w:rsidP="0022076A">
      <w:pPr>
        <w:pStyle w:val="Style26"/>
        <w:widowControl/>
        <w:ind w:left="993" w:right="1138"/>
        <w:jc w:val="right"/>
        <w:rPr>
          <w:rStyle w:val="FontStyle48"/>
          <w:lang w:val="es-ES_tradnl" w:eastAsia="es-ES_tradnl"/>
        </w:rPr>
      </w:pPr>
    </w:p>
    <w:p w:rsidR="0022076A" w:rsidRDefault="0022076A" w:rsidP="0022076A">
      <w:pPr>
        <w:pStyle w:val="Style26"/>
        <w:widowControl/>
        <w:ind w:left="993" w:right="1138"/>
        <w:jc w:val="right"/>
        <w:rPr>
          <w:rStyle w:val="FontStyle48"/>
          <w:lang w:val="es-ES_tradnl" w:eastAsia="es-ES_tradnl"/>
        </w:rPr>
      </w:pPr>
    </w:p>
    <w:p w:rsidR="0022076A" w:rsidRDefault="0022076A" w:rsidP="0022076A">
      <w:pPr>
        <w:pStyle w:val="Style26"/>
        <w:widowControl/>
        <w:ind w:left="993" w:right="1138"/>
        <w:jc w:val="right"/>
        <w:rPr>
          <w:rStyle w:val="FontStyle48"/>
          <w:lang w:val="es-ES_tradnl" w:eastAsia="es-ES_tradnl"/>
        </w:rPr>
      </w:pPr>
    </w:p>
    <w:p w:rsidR="0022076A" w:rsidRDefault="0022076A" w:rsidP="0022076A">
      <w:pPr>
        <w:pStyle w:val="Style26"/>
        <w:widowControl/>
        <w:ind w:left="993" w:right="1138"/>
        <w:jc w:val="right"/>
        <w:rPr>
          <w:rStyle w:val="FontStyle48"/>
          <w:lang w:val="es-ES_tradnl" w:eastAsia="es-ES_tradnl"/>
        </w:rPr>
      </w:pPr>
    </w:p>
    <w:p w:rsidR="00000000" w:rsidRDefault="00CE0A71" w:rsidP="0022076A">
      <w:pPr>
        <w:pStyle w:val="Style26"/>
        <w:widowControl/>
        <w:ind w:left="993" w:right="1138"/>
        <w:jc w:val="right"/>
        <w:rPr>
          <w:rStyle w:val="FontStyle48"/>
          <w:lang w:val="es-ES_tradnl" w:eastAsia="es-ES_tradnl"/>
        </w:rPr>
      </w:pPr>
      <w:r>
        <w:rPr>
          <w:rStyle w:val="FontStyle48"/>
          <w:lang w:val="es-ES_tradnl" w:eastAsia="es-ES_tradnl"/>
        </w:rPr>
        <w:fldChar w:fldCharType="begin"/>
      </w:r>
      <w:r>
        <w:rPr>
          <w:rStyle w:val="FontStyle48"/>
          <w:lang w:val="es-ES_tradnl" w:eastAsia="es-ES_tradnl"/>
        </w:rPr>
        <w:instrText>PAGE</w:instrText>
      </w:r>
      <w:r>
        <w:rPr>
          <w:rStyle w:val="FontStyle48"/>
          <w:lang w:val="es-ES_tradnl" w:eastAsia="es-ES_tradnl"/>
        </w:rPr>
        <w:fldChar w:fldCharType="separate"/>
      </w:r>
      <w:r>
        <w:rPr>
          <w:rStyle w:val="FontStyle48"/>
          <w:lang w:val="es-ES_tradnl" w:eastAsia="es-ES_tradnl"/>
        </w:rPr>
        <w:t>5</w:t>
      </w:r>
      <w:r>
        <w:rPr>
          <w:rStyle w:val="FontStyle48"/>
          <w:lang w:val="es-ES_tradnl" w:eastAsia="es-ES_tradnl"/>
        </w:rPr>
        <w:fldChar w:fldCharType="end"/>
      </w:r>
    </w:p>
    <w:p w:rsidR="0022076A" w:rsidRDefault="00860C52" w:rsidP="00E52081">
      <w:pPr>
        <w:pStyle w:val="Style25"/>
        <w:widowControl/>
        <w:ind w:left="993" w:right="1138"/>
        <w:jc w:val="both"/>
        <w:rPr>
          <w:rStyle w:val="FontStyle42"/>
          <w:lang w:val="es-ES_tradnl" w:eastAsia="es-ES_tradnl"/>
        </w:rPr>
      </w:pPr>
      <w:r>
        <w:rPr>
          <w:rStyle w:val="FontStyle42"/>
          <w:lang w:val="es-ES_tradnl" w:eastAsia="es-ES_tradnl"/>
        </w:rPr>
        <w:br w:type="page"/>
      </w:r>
    </w:p>
    <w:p w:rsidR="0004547A" w:rsidRDefault="0004547A" w:rsidP="00E52081">
      <w:pPr>
        <w:pStyle w:val="Style25"/>
        <w:widowControl/>
        <w:ind w:left="993" w:right="1138"/>
        <w:jc w:val="both"/>
        <w:rPr>
          <w:rStyle w:val="FontStyle42"/>
          <w:lang w:val="es-ES_tradnl" w:eastAsia="es-ES_tradnl"/>
        </w:rPr>
      </w:pPr>
    </w:p>
    <w:p w:rsidR="0004547A" w:rsidRDefault="0004547A" w:rsidP="00E52081">
      <w:pPr>
        <w:pStyle w:val="Style25"/>
        <w:widowControl/>
        <w:ind w:left="993" w:right="1138"/>
        <w:jc w:val="both"/>
        <w:rPr>
          <w:rStyle w:val="FontStyle42"/>
          <w:lang w:val="es-ES_tradnl" w:eastAsia="es-ES_tradnl"/>
        </w:rPr>
      </w:pPr>
    </w:p>
    <w:p w:rsidR="0022076A" w:rsidRDefault="0022076A" w:rsidP="00E52081">
      <w:pPr>
        <w:pStyle w:val="Style25"/>
        <w:widowControl/>
        <w:ind w:left="993" w:right="1138"/>
        <w:jc w:val="both"/>
        <w:rPr>
          <w:rStyle w:val="FontStyle42"/>
          <w:lang w:val="es-ES_tradnl" w:eastAsia="es-ES_tradnl"/>
        </w:rPr>
      </w:pPr>
    </w:p>
    <w:p w:rsidR="00000000" w:rsidRDefault="00CE0A71" w:rsidP="0022076A">
      <w:pPr>
        <w:pStyle w:val="Style25"/>
        <w:widowControl/>
        <w:numPr>
          <w:ilvl w:val="0"/>
          <w:numId w:val="3"/>
        </w:numPr>
        <w:ind w:right="1138"/>
        <w:jc w:val="both"/>
        <w:rPr>
          <w:rStyle w:val="FontStyle42"/>
          <w:lang w:val="es-ES_tradnl" w:eastAsia="es-ES_tradnl"/>
        </w:rPr>
      </w:pPr>
      <w:r>
        <w:rPr>
          <w:rStyle w:val="FontStyle42"/>
          <w:lang w:val="es-ES_tradnl" w:eastAsia="es-ES_tradnl"/>
        </w:rPr>
        <w:t>La resolución del contralor médico de la institución de salud previsional. que rechazó o modificó la o las licencias médicas que fundamentan la denuncia.</w:t>
      </w:r>
    </w:p>
    <w:p w:rsidR="0022076A" w:rsidRDefault="0022076A" w:rsidP="0022076A">
      <w:pPr>
        <w:pStyle w:val="Style25"/>
        <w:widowControl/>
        <w:ind w:left="1353" w:right="1138"/>
        <w:jc w:val="both"/>
        <w:rPr>
          <w:rStyle w:val="FontStyle42"/>
          <w:lang w:val="es-ES_tradnl" w:eastAsia="es-ES_tradnl"/>
        </w:rPr>
      </w:pPr>
    </w:p>
    <w:p w:rsidR="00000000" w:rsidRDefault="00CE0A71" w:rsidP="0022076A">
      <w:pPr>
        <w:pStyle w:val="Style25"/>
        <w:widowControl/>
        <w:numPr>
          <w:ilvl w:val="0"/>
          <w:numId w:val="3"/>
        </w:numPr>
        <w:ind w:right="1138"/>
        <w:jc w:val="both"/>
        <w:rPr>
          <w:rStyle w:val="FontStyle42"/>
          <w:lang w:val="es-ES_tradnl" w:eastAsia="es-ES_tradnl"/>
        </w:rPr>
      </w:pPr>
      <w:r>
        <w:rPr>
          <w:rStyle w:val="FontStyle42"/>
          <w:lang w:val="es-ES_tradnl" w:eastAsia="es-ES_tradnl"/>
        </w:rPr>
        <w:t xml:space="preserve">Las razones por las cuales considera que el rechazo o la modificación de la o las </w:t>
      </w:r>
      <w:r>
        <w:rPr>
          <w:rStyle w:val="FontStyle42"/>
          <w:lang w:val="es-ES_tradnl" w:eastAsia="es-ES_tradnl"/>
        </w:rPr>
        <w:t>licencias médicas ha sido injustificado o sin expresión de causa.</w:t>
      </w:r>
    </w:p>
    <w:p w:rsidR="0022076A" w:rsidRDefault="0022076A" w:rsidP="0022076A">
      <w:pPr>
        <w:pStyle w:val="Style25"/>
        <w:widowControl/>
        <w:ind w:right="1138"/>
        <w:jc w:val="both"/>
        <w:rPr>
          <w:rStyle w:val="FontStyle42"/>
          <w:lang w:val="es-ES_tradnl" w:eastAsia="es-ES_tradnl"/>
        </w:rPr>
      </w:pPr>
    </w:p>
    <w:p w:rsidR="00000000" w:rsidRDefault="00CE0A71" w:rsidP="0022076A">
      <w:pPr>
        <w:pStyle w:val="Style25"/>
        <w:widowControl/>
        <w:numPr>
          <w:ilvl w:val="0"/>
          <w:numId w:val="3"/>
        </w:numPr>
        <w:ind w:right="1138"/>
        <w:jc w:val="both"/>
        <w:rPr>
          <w:rStyle w:val="FontStyle42"/>
          <w:lang w:val="es-ES_tradnl" w:eastAsia="es-ES_tradnl"/>
        </w:rPr>
      </w:pPr>
      <w:r>
        <w:rPr>
          <w:rStyle w:val="FontStyle42"/>
          <w:lang w:val="es-ES_tradnl" w:eastAsia="es-ES_tradnl"/>
        </w:rPr>
        <w:t>Los demás antecedentes que estime necesarios para fundar su denuncia.</w:t>
      </w:r>
    </w:p>
    <w:p w:rsidR="0022076A" w:rsidRDefault="0022076A" w:rsidP="0022076A">
      <w:pPr>
        <w:pStyle w:val="Style25"/>
        <w:widowControl/>
        <w:ind w:right="1138"/>
        <w:jc w:val="both"/>
        <w:rPr>
          <w:rStyle w:val="FontStyle42"/>
          <w:lang w:val="es-ES_tradnl" w:eastAsia="es-ES_tradnl"/>
        </w:rPr>
      </w:pPr>
    </w:p>
    <w:p w:rsidR="00000000" w:rsidRDefault="00CE0A71" w:rsidP="0022076A">
      <w:pPr>
        <w:pStyle w:val="Style14"/>
        <w:widowControl/>
        <w:ind w:left="993" w:right="1138"/>
        <w:jc w:val="both"/>
        <w:rPr>
          <w:rStyle w:val="FontStyle42"/>
          <w:lang w:val="es-ES_tradnl" w:eastAsia="es-ES_tradnl"/>
        </w:rPr>
      </w:pPr>
      <w:r>
        <w:rPr>
          <w:rStyle w:val="FontStyle42"/>
          <w:lang w:val="es-ES_tradnl" w:eastAsia="es-ES_tradnl"/>
        </w:rPr>
        <w:t>Para facilitar las denuncias de los afiliados a Isapre, se acompaña en el Anexo N° 3 de esta Circular un formulario d</w:t>
      </w:r>
      <w:r>
        <w:rPr>
          <w:rStyle w:val="FontStyle42"/>
          <w:lang w:val="es-ES_tradnl" w:eastAsia="es-ES_tradnl"/>
        </w:rPr>
        <w:t xml:space="preserve">e denuncia, que será puesto a disposición de los interesados en el sitio web </w:t>
      </w:r>
      <w:r>
        <w:rPr>
          <w:rStyle w:val="FontStyle42"/>
          <w:u w:val="single"/>
          <w:lang w:val="es-ES_tradnl" w:eastAsia="es-ES_tradnl"/>
        </w:rPr>
        <w:t>wwvv.suseso.cl</w:t>
      </w:r>
      <w:r>
        <w:rPr>
          <w:rStyle w:val="FontStyle42"/>
          <w:lang w:val="es-ES_tradnl" w:eastAsia="es-ES_tradnl"/>
        </w:rPr>
        <w:t>.</w:t>
      </w:r>
    </w:p>
    <w:p w:rsidR="0022076A" w:rsidRDefault="0022076A" w:rsidP="00E52081">
      <w:pPr>
        <w:pStyle w:val="Style5"/>
        <w:widowControl/>
        <w:ind w:left="993" w:right="1138"/>
        <w:jc w:val="both"/>
        <w:rPr>
          <w:rStyle w:val="FontStyle41"/>
          <w:lang w:val="es-ES_tradnl" w:eastAsia="es-ES_tradnl"/>
        </w:rPr>
      </w:pPr>
    </w:p>
    <w:p w:rsidR="00000000" w:rsidRDefault="00CE0A71" w:rsidP="0022076A">
      <w:pPr>
        <w:pStyle w:val="Style5"/>
        <w:widowControl/>
        <w:ind w:left="993" w:right="1138" w:hanging="709"/>
        <w:jc w:val="both"/>
        <w:rPr>
          <w:rStyle w:val="FontStyle41"/>
          <w:lang w:val="es-ES_tradnl" w:eastAsia="es-ES_tradnl"/>
        </w:rPr>
      </w:pPr>
      <w:r>
        <w:rPr>
          <w:rStyle w:val="FontStyle41"/>
          <w:lang w:val="es-ES_tradnl" w:eastAsia="es-ES_tradnl"/>
        </w:rPr>
        <w:t xml:space="preserve">IV.  </w:t>
      </w:r>
      <w:r w:rsidR="0022076A">
        <w:rPr>
          <w:rStyle w:val="FontStyle41"/>
          <w:lang w:val="es-ES_tradnl" w:eastAsia="es-ES_tradnl"/>
        </w:rPr>
        <w:t xml:space="preserve">  </w:t>
      </w:r>
      <w:r>
        <w:rPr>
          <w:rStyle w:val="FontStyle41"/>
          <w:lang w:val="es-ES_tradnl" w:eastAsia="es-ES_tradnl"/>
        </w:rPr>
        <w:t xml:space="preserve"> Sanciones establecidas en la Ley N°20.585.</w:t>
      </w:r>
    </w:p>
    <w:p w:rsidR="0022076A" w:rsidRDefault="0022076A" w:rsidP="00E52081">
      <w:pPr>
        <w:pStyle w:val="Style18"/>
        <w:widowControl/>
        <w:ind w:left="993" w:right="1138"/>
        <w:jc w:val="both"/>
        <w:rPr>
          <w:rStyle w:val="FontStyle42"/>
          <w:lang w:val="es-ES_tradnl" w:eastAsia="es-ES_tradnl"/>
        </w:rPr>
      </w:pPr>
    </w:p>
    <w:p w:rsidR="00000000" w:rsidRDefault="00CE0A71" w:rsidP="0022076A">
      <w:pPr>
        <w:pStyle w:val="Style18"/>
        <w:widowControl/>
        <w:ind w:left="993" w:right="1138"/>
        <w:jc w:val="both"/>
        <w:rPr>
          <w:rStyle w:val="FontStyle42"/>
          <w:lang w:val="es-ES_tradnl" w:eastAsia="es-ES_tradnl"/>
        </w:rPr>
      </w:pPr>
      <w:r>
        <w:rPr>
          <w:rStyle w:val="FontStyle42"/>
          <w:lang w:val="es-ES_tradnl" w:eastAsia="es-ES_tradnl"/>
        </w:rPr>
        <w:t xml:space="preserve">1) Los profesionales que emiten licencias médicas y que sean requeridos por una COMPIN, que no concurran en forma </w:t>
      </w:r>
      <w:r>
        <w:rPr>
          <w:rStyle w:val="FontStyle42"/>
          <w:lang w:val="es-ES_tradnl" w:eastAsia="es-ES_tradnl"/>
        </w:rPr>
        <w:t>injustificada y repetida a las citaciones, o se nieguen reiteradamente a la entrega o no remitan los antecedentes solicitados, podrán ser sancionados, mediante resolución fundada, con multas a beneficio fiscal de hasta 10 unidades tributarias mensuales. Ad</w:t>
      </w:r>
      <w:r>
        <w:rPr>
          <w:rStyle w:val="FontStyle42"/>
          <w:lang w:val="es-ES_tradnl" w:eastAsia="es-ES_tradnl"/>
        </w:rPr>
        <w:t>emás, en casos calificados, podrá suspenderse tanto la venta de formularios de licencias médicas, como la facultad para emitirlas, hasta por 15 días. Dicha suspensión podrá renovarse mientras persista la conducta del profesional.</w:t>
      </w:r>
    </w:p>
    <w:p w:rsidR="0022076A" w:rsidRDefault="0022076A" w:rsidP="00E52081">
      <w:pPr>
        <w:pStyle w:val="Style18"/>
        <w:widowControl/>
        <w:ind w:left="993" w:right="1138"/>
        <w:jc w:val="both"/>
        <w:rPr>
          <w:rStyle w:val="FontStyle42"/>
          <w:lang w:val="es-ES_tradnl" w:eastAsia="es-ES_tradnl"/>
        </w:rPr>
      </w:pPr>
    </w:p>
    <w:p w:rsidR="00000000" w:rsidRDefault="00CE0A71" w:rsidP="00E52081">
      <w:pPr>
        <w:pStyle w:val="Style18"/>
        <w:widowControl/>
        <w:ind w:left="993" w:right="1138"/>
        <w:jc w:val="both"/>
        <w:rPr>
          <w:rStyle w:val="FontStyle42"/>
          <w:lang w:val="es-ES_tradnl" w:eastAsia="es-ES_tradnl"/>
        </w:rPr>
      </w:pPr>
      <w:r>
        <w:rPr>
          <w:rStyle w:val="FontStyle42"/>
          <w:lang w:val="es-ES_tradnl" w:eastAsia="es-ES_tradnl"/>
        </w:rPr>
        <w:t>2) Los profesionales inves</w:t>
      </w:r>
      <w:r>
        <w:rPr>
          <w:rStyle w:val="FontStyle42"/>
          <w:lang w:val="es-ES_tradnl" w:eastAsia="es-ES_tradnl"/>
        </w:rPr>
        <w:t>tigados por la Superintendencia de Seguridad Social, respecto de los cuales se acredite que han emitido licencias con evidente ausencia de fundamento médico, podrán ser sancionados con:</w:t>
      </w:r>
    </w:p>
    <w:p w:rsidR="0022076A" w:rsidRDefault="0022076A" w:rsidP="00E52081">
      <w:pPr>
        <w:pStyle w:val="Style25"/>
        <w:widowControl/>
        <w:ind w:left="993" w:right="1138"/>
        <w:jc w:val="both"/>
        <w:rPr>
          <w:rStyle w:val="FontStyle42"/>
          <w:lang w:val="es-ES_tradnl" w:eastAsia="es-ES_tradnl"/>
        </w:rPr>
      </w:pPr>
    </w:p>
    <w:p w:rsidR="00000000" w:rsidRDefault="00CE0A71" w:rsidP="0004547A">
      <w:pPr>
        <w:pStyle w:val="Style25"/>
        <w:widowControl/>
        <w:ind w:left="1560" w:right="1138" w:hanging="567"/>
        <w:jc w:val="both"/>
        <w:rPr>
          <w:rStyle w:val="FontStyle42"/>
          <w:lang w:val="es-ES_tradnl" w:eastAsia="es-ES_tradnl"/>
        </w:rPr>
      </w:pPr>
      <w:r>
        <w:rPr>
          <w:rStyle w:val="FontStyle42"/>
          <w:lang w:val="es-ES_tradnl" w:eastAsia="es-ES_tradnl"/>
        </w:rPr>
        <w:t xml:space="preserve">a. </w:t>
      </w:r>
      <w:r w:rsidR="0004547A">
        <w:rPr>
          <w:rStyle w:val="FontStyle42"/>
          <w:lang w:val="es-ES_tradnl" w:eastAsia="es-ES_tradnl"/>
        </w:rPr>
        <w:t xml:space="preserve">   </w:t>
      </w:r>
      <w:r>
        <w:rPr>
          <w:rStyle w:val="FontStyle42"/>
          <w:lang w:val="es-ES_tradnl" w:eastAsia="es-ES_tradnl"/>
        </w:rPr>
        <w:t>Multa a beneficio fiscal de hasta 7.5 unidades tributarias mensuale</w:t>
      </w:r>
      <w:r>
        <w:rPr>
          <w:rStyle w:val="FontStyle42"/>
          <w:lang w:val="es-ES_tradnl" w:eastAsia="es-ES_tradnl"/>
        </w:rPr>
        <w:t>s. La multa podrá elevarse al doble en caso de constatarse que la emisión de licencias sin fundamento médico ha sido reiterada.</w:t>
      </w:r>
    </w:p>
    <w:p w:rsidR="0022076A" w:rsidRDefault="0022076A" w:rsidP="0004547A">
      <w:pPr>
        <w:pStyle w:val="Style25"/>
        <w:widowControl/>
        <w:ind w:left="1560" w:right="1138" w:hanging="567"/>
        <w:jc w:val="both"/>
        <w:rPr>
          <w:rStyle w:val="FontStyle42"/>
          <w:lang w:val="es-ES_tradnl" w:eastAsia="es-ES_tradnl"/>
        </w:rPr>
      </w:pPr>
    </w:p>
    <w:p w:rsidR="00000000" w:rsidRDefault="00CE0A71" w:rsidP="0004547A">
      <w:pPr>
        <w:pStyle w:val="Style25"/>
        <w:widowControl/>
        <w:ind w:left="1560" w:right="1138" w:hanging="567"/>
        <w:jc w:val="both"/>
        <w:rPr>
          <w:rStyle w:val="FontStyle42"/>
          <w:lang w:val="es-ES_tradnl" w:eastAsia="es-ES_tradnl"/>
        </w:rPr>
      </w:pPr>
      <w:r>
        <w:rPr>
          <w:rStyle w:val="FontStyle42"/>
          <w:lang w:val="es-ES_tradnl" w:eastAsia="es-ES_tradnl"/>
        </w:rPr>
        <w:t>b.</w:t>
      </w:r>
      <w:r w:rsidR="0004547A">
        <w:rPr>
          <w:rStyle w:val="FontStyle42"/>
          <w:lang w:val="es-ES_tradnl" w:eastAsia="es-ES_tradnl"/>
        </w:rPr>
        <w:t xml:space="preserve">   </w:t>
      </w:r>
      <w:r>
        <w:rPr>
          <w:rStyle w:val="FontStyle42"/>
          <w:lang w:val="es-ES_tradnl" w:eastAsia="es-ES_tradnl"/>
        </w:rPr>
        <w:t xml:space="preserve"> Suspensión hasta por 30 días de la facultad para otorgar licencias médicas y una multa a beneficio fiscal de hasta 15 unidade</w:t>
      </w:r>
      <w:r>
        <w:rPr>
          <w:rStyle w:val="FontStyle42"/>
          <w:lang w:val="es-ES_tradnl" w:eastAsia="es-ES_tradnl"/>
        </w:rPr>
        <w:t>s tributarias mensuales, en caso de reincidencia dentro del período de tres años contados desde la fecha de la notificación de la resolución que impone la primera sanción.</w:t>
      </w:r>
    </w:p>
    <w:p w:rsidR="0022076A" w:rsidRDefault="0022076A" w:rsidP="0004547A">
      <w:pPr>
        <w:pStyle w:val="Style25"/>
        <w:widowControl/>
        <w:ind w:left="1560" w:right="1138" w:hanging="567"/>
        <w:jc w:val="both"/>
        <w:rPr>
          <w:rStyle w:val="FontStyle42"/>
          <w:lang w:val="es-ES_tradnl" w:eastAsia="es-ES_tradnl"/>
        </w:rPr>
      </w:pPr>
    </w:p>
    <w:p w:rsidR="00000000" w:rsidRDefault="00CE0A71" w:rsidP="0004547A">
      <w:pPr>
        <w:pStyle w:val="Style25"/>
        <w:widowControl/>
        <w:ind w:left="1560" w:right="1138" w:hanging="567"/>
        <w:jc w:val="both"/>
        <w:rPr>
          <w:rStyle w:val="FontStyle42"/>
          <w:lang w:val="es-ES_tradnl" w:eastAsia="es-ES_tradnl"/>
        </w:rPr>
      </w:pPr>
      <w:r>
        <w:rPr>
          <w:rStyle w:val="FontStyle42"/>
          <w:lang w:val="es-ES_tradnl" w:eastAsia="es-ES_tradnl"/>
        </w:rPr>
        <w:t xml:space="preserve">c. </w:t>
      </w:r>
      <w:r w:rsidR="0004547A">
        <w:rPr>
          <w:rStyle w:val="FontStyle42"/>
          <w:lang w:val="es-ES_tradnl" w:eastAsia="es-ES_tradnl"/>
        </w:rPr>
        <w:t xml:space="preserve">   </w:t>
      </w:r>
      <w:r>
        <w:rPr>
          <w:rStyle w:val="FontStyle42"/>
          <w:lang w:val="es-ES_tradnl" w:eastAsia="es-ES_tradnl"/>
        </w:rPr>
        <w:t xml:space="preserve">Suspensión hasta por 90 días de la facultad para otorgar licencias médicas y una </w:t>
      </w:r>
      <w:r>
        <w:rPr>
          <w:rStyle w:val="FontStyle42"/>
          <w:lang w:val="es-ES_tradnl" w:eastAsia="es-ES_tradnl"/>
        </w:rPr>
        <w:t>multa a beneficio fiscal de hasta 30 unidades tributarias mensuales, en caso de segunda reincidencia dentro del período de tres años contados desde la fecha de la notificación de la resolución que impone la primera sanción.</w:t>
      </w:r>
    </w:p>
    <w:p w:rsidR="0022076A" w:rsidRDefault="0022076A" w:rsidP="0004547A">
      <w:pPr>
        <w:pStyle w:val="Style25"/>
        <w:widowControl/>
        <w:ind w:left="1560" w:right="1138" w:hanging="567"/>
        <w:jc w:val="both"/>
        <w:rPr>
          <w:rStyle w:val="FontStyle42"/>
          <w:lang w:val="es-ES_tradnl" w:eastAsia="es-ES_tradnl"/>
        </w:rPr>
      </w:pPr>
    </w:p>
    <w:p w:rsidR="00000000" w:rsidRDefault="00CE0A71" w:rsidP="0004547A">
      <w:pPr>
        <w:pStyle w:val="Style25"/>
        <w:widowControl/>
        <w:ind w:left="1560" w:right="1138" w:hanging="567"/>
        <w:jc w:val="both"/>
        <w:rPr>
          <w:rStyle w:val="FontStyle42"/>
          <w:lang w:val="es-ES_tradnl" w:eastAsia="es-ES_tradnl"/>
        </w:rPr>
      </w:pPr>
      <w:r>
        <w:rPr>
          <w:rStyle w:val="FontStyle42"/>
          <w:lang w:val="es-ES_tradnl" w:eastAsia="es-ES_tradnl"/>
        </w:rPr>
        <w:t xml:space="preserve">d. </w:t>
      </w:r>
      <w:r w:rsidR="0004547A">
        <w:rPr>
          <w:rStyle w:val="FontStyle42"/>
          <w:lang w:val="es-ES_tradnl" w:eastAsia="es-ES_tradnl"/>
        </w:rPr>
        <w:t xml:space="preserve">    </w:t>
      </w:r>
      <w:r>
        <w:rPr>
          <w:rStyle w:val="FontStyle42"/>
          <w:lang w:val="es-ES_tradnl" w:eastAsia="es-ES_tradnl"/>
        </w:rPr>
        <w:t>Suspensión hasta por un año d</w:t>
      </w:r>
      <w:r>
        <w:rPr>
          <w:rStyle w:val="FontStyle42"/>
          <w:lang w:val="es-ES_tradnl" w:eastAsia="es-ES_tradnl"/>
        </w:rPr>
        <w:t>e la facultad para otorgar licencias médicas y una multa a beneficio fiscal de hasta 60 unidades tributarias mensuales, en caso de tercera reincidencia dentro del período de tres años contados desde la fecha de la notificación de la resolución que impone l</w:t>
      </w:r>
      <w:r>
        <w:rPr>
          <w:rStyle w:val="FontStyle42"/>
          <w:lang w:val="es-ES_tradnl" w:eastAsia="es-ES_tradnl"/>
        </w:rPr>
        <w:t>a primera sanción.</w:t>
      </w:r>
    </w:p>
    <w:p w:rsidR="0022076A" w:rsidRDefault="0022076A" w:rsidP="0004547A">
      <w:pPr>
        <w:pStyle w:val="Style18"/>
        <w:widowControl/>
        <w:ind w:left="1560" w:right="1138" w:hanging="567"/>
        <w:jc w:val="both"/>
        <w:rPr>
          <w:rStyle w:val="FontStyle42"/>
          <w:lang w:val="es-ES_tradnl" w:eastAsia="es-ES_tradnl"/>
        </w:rPr>
      </w:pPr>
    </w:p>
    <w:p w:rsidR="00000000" w:rsidRDefault="00CE0A71" w:rsidP="00E52081">
      <w:pPr>
        <w:pStyle w:val="Style18"/>
        <w:widowControl/>
        <w:ind w:left="993" w:right="1138"/>
        <w:jc w:val="both"/>
        <w:rPr>
          <w:rStyle w:val="FontStyle42"/>
          <w:lang w:val="es-ES_tradnl" w:eastAsia="es-ES_tradnl"/>
        </w:rPr>
      </w:pPr>
      <w:r>
        <w:rPr>
          <w:rStyle w:val="FontStyle42"/>
          <w:lang w:val="es-ES_tradnl" w:eastAsia="es-ES_tradnl"/>
        </w:rPr>
        <w:t>3) Los contralores médicos de una Institución de Salud Previsional. respecto de los cuales se acredite que ordenó bajo su firma rechazar o modificar una licencia médica sin justificación que respalde su resolución, o sin expresión de cau</w:t>
      </w:r>
      <w:r>
        <w:rPr>
          <w:rStyle w:val="FontStyle42"/>
          <w:lang w:val="es-ES_tradnl" w:eastAsia="es-ES_tradnl"/>
        </w:rPr>
        <w:t>sa, podrán ser sancionados con:</w:t>
      </w:r>
    </w:p>
    <w:p w:rsidR="0022076A" w:rsidRDefault="0022076A" w:rsidP="00E52081">
      <w:pPr>
        <w:pStyle w:val="Style21"/>
        <w:widowControl/>
        <w:ind w:left="993" w:right="1138"/>
        <w:jc w:val="both"/>
        <w:rPr>
          <w:rStyle w:val="FontStyle42"/>
          <w:lang w:val="es-ES_tradnl" w:eastAsia="es-ES_tradnl"/>
        </w:rPr>
      </w:pPr>
    </w:p>
    <w:p w:rsidR="00000000" w:rsidRDefault="00CE0A71" w:rsidP="0004547A">
      <w:pPr>
        <w:pStyle w:val="Style21"/>
        <w:widowControl/>
        <w:ind w:left="1560" w:right="1138" w:hanging="567"/>
        <w:jc w:val="both"/>
        <w:rPr>
          <w:rStyle w:val="FontStyle42"/>
          <w:lang w:val="es-ES_tradnl" w:eastAsia="es-ES_tradnl"/>
        </w:rPr>
      </w:pPr>
      <w:r>
        <w:rPr>
          <w:rStyle w:val="FontStyle42"/>
          <w:lang w:val="es-ES_tradnl" w:eastAsia="es-ES_tradnl"/>
        </w:rPr>
        <w:t xml:space="preserve">a. </w:t>
      </w:r>
      <w:r w:rsidR="0004547A">
        <w:rPr>
          <w:rStyle w:val="FontStyle42"/>
          <w:lang w:val="es-ES_tradnl" w:eastAsia="es-ES_tradnl"/>
        </w:rPr>
        <w:t xml:space="preserve">   </w:t>
      </w:r>
      <w:r>
        <w:rPr>
          <w:rStyle w:val="FontStyle42"/>
          <w:lang w:val="es-ES_tradnl" w:eastAsia="es-ES_tradnl"/>
        </w:rPr>
        <w:t>Multa a beneficio fiscal de hasta 7.5 unidades tributarias mensuales. La multa podrá elevarse al doble en caso de constatarse que la postergación de la resolución, el rechazo o la modificación de la licencia médica sin fu</w:t>
      </w:r>
      <w:r>
        <w:rPr>
          <w:rStyle w:val="FontStyle42"/>
          <w:lang w:val="es-ES_tradnl" w:eastAsia="es-ES_tradnl"/>
        </w:rPr>
        <w:t>ndamento médico han sido reiterados.</w:t>
      </w:r>
    </w:p>
    <w:p w:rsidR="0004547A" w:rsidRDefault="0004547A" w:rsidP="0022076A">
      <w:pPr>
        <w:pStyle w:val="Style26"/>
        <w:widowControl/>
        <w:ind w:left="993" w:right="1138"/>
        <w:jc w:val="right"/>
        <w:rPr>
          <w:rStyle w:val="FontStyle48"/>
          <w:lang w:val="es-ES_tradnl" w:eastAsia="es-ES_tradnl"/>
        </w:rPr>
      </w:pPr>
    </w:p>
    <w:p w:rsidR="0004547A" w:rsidRDefault="0004547A" w:rsidP="0022076A">
      <w:pPr>
        <w:pStyle w:val="Style26"/>
        <w:widowControl/>
        <w:ind w:left="993" w:right="1138"/>
        <w:jc w:val="right"/>
        <w:rPr>
          <w:rStyle w:val="FontStyle48"/>
          <w:lang w:val="es-ES_tradnl" w:eastAsia="es-ES_tradnl"/>
        </w:rPr>
      </w:pPr>
    </w:p>
    <w:p w:rsidR="0004547A" w:rsidRDefault="0004547A" w:rsidP="0022076A">
      <w:pPr>
        <w:pStyle w:val="Style26"/>
        <w:widowControl/>
        <w:ind w:left="993" w:right="1138"/>
        <w:jc w:val="right"/>
        <w:rPr>
          <w:rStyle w:val="FontStyle48"/>
          <w:lang w:val="es-ES_tradnl" w:eastAsia="es-ES_tradnl"/>
        </w:rPr>
      </w:pPr>
    </w:p>
    <w:p w:rsidR="0004547A" w:rsidRDefault="0004547A" w:rsidP="0022076A">
      <w:pPr>
        <w:pStyle w:val="Style26"/>
        <w:widowControl/>
        <w:ind w:left="993" w:right="1138"/>
        <w:jc w:val="right"/>
        <w:rPr>
          <w:rStyle w:val="FontStyle48"/>
          <w:lang w:val="es-ES_tradnl" w:eastAsia="es-ES_tradnl"/>
        </w:rPr>
      </w:pPr>
    </w:p>
    <w:p w:rsidR="0004547A" w:rsidRDefault="0004547A" w:rsidP="0022076A">
      <w:pPr>
        <w:pStyle w:val="Style26"/>
        <w:widowControl/>
        <w:ind w:left="993" w:right="1138"/>
        <w:jc w:val="right"/>
        <w:rPr>
          <w:rStyle w:val="FontStyle48"/>
          <w:lang w:val="es-ES_tradnl" w:eastAsia="es-ES_tradnl"/>
        </w:rPr>
      </w:pPr>
    </w:p>
    <w:p w:rsidR="0004547A" w:rsidRDefault="0004547A" w:rsidP="0022076A">
      <w:pPr>
        <w:pStyle w:val="Style26"/>
        <w:widowControl/>
        <w:ind w:left="993" w:right="1138"/>
        <w:jc w:val="right"/>
        <w:rPr>
          <w:rStyle w:val="FontStyle48"/>
          <w:lang w:val="es-ES_tradnl" w:eastAsia="es-ES_tradnl"/>
        </w:rPr>
      </w:pPr>
    </w:p>
    <w:p w:rsidR="0004547A" w:rsidRDefault="0004547A" w:rsidP="0022076A">
      <w:pPr>
        <w:pStyle w:val="Style26"/>
        <w:widowControl/>
        <w:ind w:left="993" w:right="1138"/>
        <w:jc w:val="right"/>
        <w:rPr>
          <w:rStyle w:val="FontStyle48"/>
          <w:lang w:val="es-ES_tradnl" w:eastAsia="es-ES_tradnl"/>
        </w:rPr>
      </w:pPr>
    </w:p>
    <w:p w:rsidR="00000000" w:rsidRDefault="0022076A" w:rsidP="0022076A">
      <w:pPr>
        <w:pStyle w:val="Style26"/>
        <w:widowControl/>
        <w:ind w:left="993" w:right="1138"/>
        <w:jc w:val="right"/>
        <w:rPr>
          <w:rStyle w:val="FontStyle48"/>
          <w:lang w:val="es-ES_tradnl" w:eastAsia="es-ES_tradnl"/>
        </w:rPr>
      </w:pPr>
      <w:r>
        <w:rPr>
          <w:rStyle w:val="FontStyle48"/>
          <w:lang w:val="es-ES_tradnl" w:eastAsia="es-ES_tradnl"/>
        </w:rPr>
        <w:t>6</w:t>
      </w:r>
    </w:p>
    <w:p w:rsidR="0004547A" w:rsidRDefault="00E52081" w:rsidP="00E52081">
      <w:pPr>
        <w:pStyle w:val="Style25"/>
        <w:widowControl/>
        <w:ind w:left="993" w:right="1138"/>
        <w:jc w:val="both"/>
        <w:rPr>
          <w:rStyle w:val="FontStyle42"/>
          <w:lang w:val="es-ES_tradnl" w:eastAsia="es-ES_tradnl"/>
        </w:rPr>
      </w:pPr>
      <w:r>
        <w:rPr>
          <w:rStyle w:val="FontStyle42"/>
          <w:lang w:val="es-ES_tradnl" w:eastAsia="es-ES_tradnl"/>
        </w:rPr>
        <w:br w:type="page"/>
      </w:r>
    </w:p>
    <w:p w:rsidR="0004547A" w:rsidRDefault="0004547A" w:rsidP="00E52081">
      <w:pPr>
        <w:pStyle w:val="Style25"/>
        <w:widowControl/>
        <w:ind w:left="993" w:right="1138"/>
        <w:jc w:val="both"/>
        <w:rPr>
          <w:rStyle w:val="FontStyle42"/>
          <w:lang w:val="es-ES_tradnl" w:eastAsia="es-ES_tradnl"/>
        </w:rPr>
      </w:pPr>
    </w:p>
    <w:p w:rsidR="0004547A" w:rsidRDefault="0004547A" w:rsidP="00E52081">
      <w:pPr>
        <w:pStyle w:val="Style25"/>
        <w:widowControl/>
        <w:ind w:left="993" w:right="1138"/>
        <w:jc w:val="both"/>
        <w:rPr>
          <w:rStyle w:val="FontStyle42"/>
          <w:lang w:val="es-ES_tradnl" w:eastAsia="es-ES_tradnl"/>
        </w:rPr>
      </w:pPr>
    </w:p>
    <w:p w:rsidR="0004547A" w:rsidRDefault="0004547A" w:rsidP="0004547A">
      <w:pPr>
        <w:pStyle w:val="Style25"/>
        <w:widowControl/>
        <w:spacing w:before="120" w:after="240"/>
        <w:ind w:left="992" w:right="1140"/>
        <w:jc w:val="both"/>
        <w:rPr>
          <w:rStyle w:val="FontStyle42"/>
          <w:lang w:val="es-ES_tradnl" w:eastAsia="es-ES_tradnl"/>
        </w:rPr>
      </w:pPr>
    </w:p>
    <w:p w:rsidR="00000000" w:rsidRDefault="00CE0A71" w:rsidP="0004547A">
      <w:pPr>
        <w:pStyle w:val="Style25"/>
        <w:widowControl/>
        <w:spacing w:before="120" w:after="240"/>
        <w:ind w:left="992" w:right="1140"/>
        <w:jc w:val="both"/>
        <w:rPr>
          <w:rStyle w:val="FontStyle42"/>
          <w:lang w:val="es-ES_tradnl" w:eastAsia="es-ES_tradnl"/>
        </w:rPr>
      </w:pPr>
      <w:r>
        <w:rPr>
          <w:rStyle w:val="FontStyle42"/>
          <w:lang w:val="es-ES_tradnl" w:eastAsia="es-ES_tradnl"/>
        </w:rPr>
        <w:t>b. Suspensión por treinta días de la facultad para visar el otorgamiento de licencias médicas en Instituciones de Salud Previsional. y una multa a beneficio fiscal de hasta 15 unidades tributarias mensuales, en</w:t>
      </w:r>
      <w:r>
        <w:rPr>
          <w:rStyle w:val="FontStyle42"/>
          <w:lang w:val="es-ES_tradnl" w:eastAsia="es-ES_tradnl"/>
        </w:rPr>
        <w:t xml:space="preserve"> caso de reincidencia dentro del período de tres años contados desde la fecha de notificación de la resolución que impone la primera sanción.</w:t>
      </w:r>
    </w:p>
    <w:p w:rsidR="00000000" w:rsidRDefault="00CE0A71" w:rsidP="0004547A">
      <w:pPr>
        <w:pStyle w:val="Style25"/>
        <w:widowControl/>
        <w:spacing w:before="120" w:after="240"/>
        <w:ind w:left="992" w:right="1140"/>
        <w:jc w:val="both"/>
        <w:rPr>
          <w:rStyle w:val="FontStyle42"/>
          <w:lang w:val="es-ES_tradnl" w:eastAsia="es-ES_tradnl"/>
        </w:rPr>
      </w:pPr>
      <w:r>
        <w:rPr>
          <w:rStyle w:val="FontStyle42"/>
          <w:lang w:val="es-ES_tradnl" w:eastAsia="es-ES_tradnl"/>
        </w:rPr>
        <w:t xml:space="preserve">c. Suspensión por noventa días de la facultad para visar el otorgamiento de licencias médicas en Instituciones de </w:t>
      </w:r>
      <w:r>
        <w:rPr>
          <w:rStyle w:val="FontStyle42"/>
          <w:lang w:val="es-ES_tradnl" w:eastAsia="es-ES_tradnl"/>
        </w:rPr>
        <w:t>Salud Previsional. y una multa a beneficio fiscal de hasta 30 unidades tributarias mensuales, en caso de segunda reincidencia dentro del período de tres años contados desde la fecha de la notificación de la resolución que impone la primera sanción.</w:t>
      </w:r>
    </w:p>
    <w:p w:rsidR="00000000" w:rsidRDefault="00CE0A71" w:rsidP="0004547A">
      <w:pPr>
        <w:pStyle w:val="Style25"/>
        <w:widowControl/>
        <w:spacing w:before="120" w:after="240"/>
        <w:ind w:left="992" w:right="1140"/>
        <w:jc w:val="both"/>
        <w:rPr>
          <w:rStyle w:val="FontStyle42"/>
          <w:lang w:val="es-ES_tradnl" w:eastAsia="es-ES_tradnl"/>
        </w:rPr>
      </w:pPr>
      <w:r>
        <w:rPr>
          <w:rStyle w:val="FontStyle42"/>
          <w:lang w:val="es-ES_tradnl" w:eastAsia="es-ES_tradnl"/>
        </w:rPr>
        <w:t>d. Susp</w:t>
      </w:r>
      <w:r>
        <w:rPr>
          <w:rStyle w:val="FontStyle42"/>
          <w:lang w:val="es-ES_tradnl" w:eastAsia="es-ES_tradnl"/>
        </w:rPr>
        <w:t>ensión por un año de la facultad para visar el otorgamiento de licencias médicas en Instituciones de Salud Previsional, y una multa a beneficio fiscal de hasta 60 unidades tributarias mensuales, en caso de tercera reincidencia dentro del período de tres añ</w:t>
      </w:r>
      <w:r>
        <w:rPr>
          <w:rStyle w:val="FontStyle42"/>
          <w:lang w:val="es-ES_tradnl" w:eastAsia="es-ES_tradnl"/>
        </w:rPr>
        <w:t>os contados desde la fecha de la notificación de la resolución que impone la primera sanción.</w:t>
      </w:r>
    </w:p>
    <w:p w:rsidR="00000000" w:rsidRDefault="00CE0A71" w:rsidP="0004547A">
      <w:pPr>
        <w:pStyle w:val="Style15"/>
        <w:widowControl/>
        <w:spacing w:before="120" w:after="240"/>
        <w:ind w:left="992" w:right="1140"/>
        <w:jc w:val="both"/>
        <w:rPr>
          <w:rStyle w:val="FontStyle41"/>
          <w:lang w:val="es-ES_tradnl" w:eastAsia="es-ES_tradnl"/>
        </w:rPr>
      </w:pPr>
      <w:r>
        <w:rPr>
          <w:rStyle w:val="FontStyle41"/>
          <w:lang w:val="es-ES_tradnl" w:eastAsia="es-ES_tradnl"/>
        </w:rPr>
        <w:t>V.    Comunicaciones  previstas  en  la  Ley  N°20.585,  que  deba   efectuar la Superintendencia de Seguridad Social.</w:t>
      </w:r>
    </w:p>
    <w:p w:rsidR="00000000" w:rsidRDefault="00CE0A71" w:rsidP="0004547A">
      <w:pPr>
        <w:pStyle w:val="Style27"/>
        <w:widowControl/>
        <w:spacing w:before="120" w:after="240"/>
        <w:ind w:left="992" w:right="1140"/>
        <w:jc w:val="both"/>
        <w:rPr>
          <w:rStyle w:val="FontStyle41"/>
          <w:lang w:val="es-ES_tradnl" w:eastAsia="es-ES_tradnl"/>
        </w:rPr>
      </w:pPr>
      <w:r>
        <w:rPr>
          <w:rStyle w:val="FontStyle41"/>
          <w:lang w:val="es-ES_tradnl" w:eastAsia="es-ES_tradnl"/>
        </w:rPr>
        <w:t xml:space="preserve">1. Comunicación de la sanción al empleador </w:t>
      </w:r>
      <w:r>
        <w:rPr>
          <w:rStyle w:val="FontStyle41"/>
          <w:lang w:val="es-ES_tradnl" w:eastAsia="es-ES_tradnl"/>
        </w:rPr>
        <w:t>del médico emisor.</w:t>
      </w:r>
    </w:p>
    <w:p w:rsidR="00000000" w:rsidRDefault="00CE0A71" w:rsidP="0004547A">
      <w:pPr>
        <w:pStyle w:val="Style14"/>
        <w:widowControl/>
        <w:spacing w:before="120" w:after="240"/>
        <w:ind w:left="992" w:right="1140"/>
        <w:jc w:val="both"/>
        <w:rPr>
          <w:rStyle w:val="FontStyle42"/>
          <w:lang w:val="es-ES_tradnl" w:eastAsia="es-ES_tradnl"/>
        </w:rPr>
      </w:pPr>
      <w:r>
        <w:rPr>
          <w:rStyle w:val="FontStyle42"/>
          <w:lang w:val="es-ES_tradnl" w:eastAsia="es-ES_tradnl"/>
        </w:rPr>
        <w:t>En caso de que el profesional otorgante estuviere afecto al Estatuto Administrativo, Estatuto de Atenció</w:t>
      </w:r>
      <w:r>
        <w:rPr>
          <w:rStyle w:val="FontStyle42"/>
          <w:lang w:val="es-ES_tradnl" w:eastAsia="es-ES_tradnl"/>
        </w:rPr>
        <w:t>n Primaria de Salud Municipal. Estatuto del Personal de las Fuerzas Armadas. Estatuto del Personal de Carabineros de Chile, Estatuto Administrativo de Funcionarios Municipales. Estatuto para los medico-cirujanos, farmacéuticos o químico-farmacéuticos, bioq</w:t>
      </w:r>
      <w:r>
        <w:rPr>
          <w:rStyle w:val="FontStyle42"/>
          <w:lang w:val="es-ES_tradnl" w:eastAsia="es-ES_tradnl"/>
        </w:rPr>
        <w:t>uímicos y cirujanos dentistas u otra norma estatutaria que haga aplicable el Estatuto Administrativo, la emisión de licencias sin fundamento médico en el ámbito de su práctica profesional, tanto pública como privada, podrá ser considerada una vulneración a</w:t>
      </w:r>
      <w:r>
        <w:rPr>
          <w:rStyle w:val="FontStyle42"/>
          <w:lang w:val="es-ES_tradnl" w:eastAsia="es-ES_tradnl"/>
        </w:rPr>
        <w:t>l principio de la Probidad Administrativa y dará origen a la responsabilidad funcionaría que corresponda, previa instrucción del procedimiento pertinente conforme al respectivo estatuto.</w:t>
      </w:r>
    </w:p>
    <w:p w:rsidR="00000000" w:rsidRDefault="00CE0A71" w:rsidP="0004547A">
      <w:pPr>
        <w:pStyle w:val="Style14"/>
        <w:widowControl/>
        <w:spacing w:before="120" w:after="240"/>
        <w:ind w:left="992" w:right="1140"/>
        <w:jc w:val="both"/>
        <w:rPr>
          <w:rStyle w:val="FontStyle42"/>
          <w:lang w:val="es-ES_tradnl" w:eastAsia="es-ES_tradnl"/>
        </w:rPr>
      </w:pPr>
      <w:r>
        <w:rPr>
          <w:rStyle w:val="FontStyle42"/>
          <w:lang w:val="es-ES_tradnl" w:eastAsia="es-ES_tradnl"/>
        </w:rPr>
        <w:t>Lo anterior será aplicable al funcionario que. a sabiendas, participe</w:t>
      </w:r>
      <w:r>
        <w:rPr>
          <w:rStyle w:val="FontStyle42"/>
          <w:lang w:val="es-ES_tradnl" w:eastAsia="es-ES_tradnl"/>
        </w:rPr>
        <w:t xml:space="preserve"> en el otorgamiento y tramitación de licencias médicas sin fundamento o adultere los documentos que les sirven de base.</w:t>
      </w:r>
    </w:p>
    <w:p w:rsidR="00000000" w:rsidRDefault="00CE0A71" w:rsidP="0004547A">
      <w:pPr>
        <w:pStyle w:val="Style27"/>
        <w:widowControl/>
        <w:spacing w:before="120" w:after="240"/>
        <w:ind w:left="992" w:right="1140"/>
        <w:jc w:val="both"/>
        <w:rPr>
          <w:rStyle w:val="FontStyle41"/>
          <w:lang w:val="es-ES_tradnl" w:eastAsia="es-ES_tradnl"/>
        </w:rPr>
      </w:pPr>
      <w:r>
        <w:rPr>
          <w:rStyle w:val="FontStyle41"/>
          <w:lang w:val="es-ES_tradnl" w:eastAsia="es-ES_tradnl"/>
        </w:rPr>
        <w:t>2. Comunicación de las sanciones a la Superintendencia de Salud.</w:t>
      </w:r>
    </w:p>
    <w:p w:rsidR="00000000" w:rsidRDefault="00CE0A71" w:rsidP="0004547A">
      <w:pPr>
        <w:pStyle w:val="Style14"/>
        <w:widowControl/>
        <w:spacing w:before="120" w:after="240"/>
        <w:ind w:left="992" w:right="1140"/>
        <w:jc w:val="both"/>
        <w:rPr>
          <w:rStyle w:val="FontStyle42"/>
          <w:lang w:val="es-ES_tradnl" w:eastAsia="es-ES_tradnl"/>
        </w:rPr>
      </w:pPr>
      <w:r>
        <w:rPr>
          <w:rStyle w:val="FontStyle42"/>
          <w:lang w:val="es-ES_tradnl" w:eastAsia="es-ES_tradnl"/>
        </w:rPr>
        <w:t>Las sanciones que aplique la Superintendencia de Seguridad Social en virtud de los artículos 5</w:t>
      </w:r>
      <w:r>
        <w:rPr>
          <w:rStyle w:val="FontStyle42"/>
          <w:vertAlign w:val="superscript"/>
          <w:lang w:val="es-ES_tradnl" w:eastAsia="es-ES_tradnl"/>
        </w:rPr>
        <w:t>o</w:t>
      </w:r>
      <w:r>
        <w:rPr>
          <w:rStyle w:val="FontStyle42"/>
          <w:lang w:val="es-ES_tradnl" w:eastAsia="es-ES_tradnl"/>
        </w:rPr>
        <w:t xml:space="preserve"> y 8</w:t>
      </w:r>
      <w:r>
        <w:rPr>
          <w:rStyle w:val="FontStyle42"/>
          <w:vertAlign w:val="superscript"/>
          <w:lang w:val="es-ES_tradnl" w:eastAsia="es-ES_tradnl"/>
        </w:rPr>
        <w:t>o</w:t>
      </w:r>
      <w:r>
        <w:rPr>
          <w:rStyle w:val="FontStyle42"/>
          <w:lang w:val="es-ES_tradnl" w:eastAsia="es-ES_tradnl"/>
        </w:rPr>
        <w:t xml:space="preserve"> de la Ley N°20.585, deberán ser comunicadas a la Superintendencia de Salud.</w:t>
      </w:r>
    </w:p>
    <w:p w:rsidR="00000000" w:rsidRDefault="00CE0A71" w:rsidP="0004547A">
      <w:pPr>
        <w:pStyle w:val="Style27"/>
        <w:widowControl/>
        <w:spacing w:before="120" w:after="240"/>
        <w:ind w:left="992" w:right="1140"/>
        <w:jc w:val="both"/>
        <w:rPr>
          <w:rStyle w:val="FontStyle41"/>
          <w:lang w:val="es-ES_tradnl" w:eastAsia="es-ES_tradnl"/>
        </w:rPr>
      </w:pPr>
      <w:r>
        <w:rPr>
          <w:rStyle w:val="FontStyle41"/>
          <w:lang w:val="es-ES_tradnl" w:eastAsia="es-ES_tradnl"/>
        </w:rPr>
        <w:t>3. Remisión de antecedentes al Ministerio Público.</w:t>
      </w:r>
    </w:p>
    <w:p w:rsidR="00000000" w:rsidRDefault="00CE0A71" w:rsidP="0004547A">
      <w:pPr>
        <w:pStyle w:val="Style14"/>
        <w:widowControl/>
        <w:spacing w:before="120" w:after="240"/>
        <w:ind w:left="992" w:right="1140"/>
        <w:jc w:val="both"/>
        <w:rPr>
          <w:rStyle w:val="FontStyle42"/>
          <w:lang w:val="es-ES_tradnl" w:eastAsia="es-ES_tradnl"/>
        </w:rPr>
      </w:pPr>
      <w:r>
        <w:rPr>
          <w:rStyle w:val="FontStyle42"/>
          <w:lang w:val="es-ES_tradnl" w:eastAsia="es-ES_tradnl"/>
        </w:rPr>
        <w:t xml:space="preserve">Conforme al citado artículo </w:t>
      </w:r>
      <w:r>
        <w:rPr>
          <w:rStyle w:val="FontStyle42"/>
          <w:lang w:val="es-ES_tradnl" w:eastAsia="es-ES_tradnl"/>
        </w:rPr>
        <w:t>5</w:t>
      </w:r>
      <w:r>
        <w:rPr>
          <w:rStyle w:val="FontStyle42"/>
          <w:vertAlign w:val="superscript"/>
          <w:lang w:val="es-ES_tradnl" w:eastAsia="es-ES_tradnl"/>
        </w:rPr>
        <w:t>o</w:t>
      </w:r>
      <w:r>
        <w:rPr>
          <w:rStyle w:val="FontStyle42"/>
          <w:lang w:val="es-ES_tradnl" w:eastAsia="es-ES_tradnl"/>
        </w:rPr>
        <w:t xml:space="preserve"> de la Ley N°20.585. si en cualquiera etapa de la investigación surgen antecedentes referidos a que el profesional pueda haber incurrido en falsedad en el otorgamiento de licencias médicas, la Superintendencia de Seguridad Social pondrá dicha situación e</w:t>
      </w:r>
      <w:r>
        <w:rPr>
          <w:rStyle w:val="FontStyle42"/>
          <w:lang w:val="es-ES_tradnl" w:eastAsia="es-ES_tradnl"/>
        </w:rPr>
        <w:t>n conocimiento del Ministerio Público, sin más trámite.</w:t>
      </w:r>
    </w:p>
    <w:p w:rsidR="00000000" w:rsidRDefault="00CE0A71" w:rsidP="0004547A">
      <w:pPr>
        <w:pStyle w:val="Style12"/>
        <w:widowControl/>
        <w:spacing w:before="120" w:after="240"/>
        <w:ind w:left="992" w:right="1140"/>
        <w:jc w:val="right"/>
        <w:rPr>
          <w:rStyle w:val="FontStyle40"/>
          <w:lang w:val="es-ES_tradnl" w:eastAsia="es-ES_tradnl"/>
        </w:rPr>
      </w:pPr>
      <w:r>
        <w:rPr>
          <w:rStyle w:val="FontStyle40"/>
          <w:lang w:val="es-ES_tradnl" w:eastAsia="es-ES_tradnl"/>
        </w:rPr>
        <w:fldChar w:fldCharType="begin"/>
      </w:r>
      <w:r>
        <w:rPr>
          <w:rStyle w:val="FontStyle40"/>
          <w:lang w:val="es-ES_tradnl" w:eastAsia="es-ES_tradnl"/>
        </w:rPr>
        <w:instrText>PAGE</w:instrText>
      </w:r>
      <w:r>
        <w:rPr>
          <w:rStyle w:val="FontStyle40"/>
          <w:lang w:val="es-ES_tradnl" w:eastAsia="es-ES_tradnl"/>
        </w:rPr>
        <w:fldChar w:fldCharType="separate"/>
      </w:r>
      <w:r>
        <w:rPr>
          <w:rStyle w:val="FontStyle40"/>
          <w:lang w:val="es-ES_tradnl" w:eastAsia="es-ES_tradnl"/>
        </w:rPr>
        <w:t>7</w:t>
      </w:r>
      <w:r>
        <w:rPr>
          <w:rStyle w:val="FontStyle40"/>
          <w:lang w:val="es-ES_tradnl" w:eastAsia="es-ES_tradnl"/>
        </w:rPr>
        <w:fldChar w:fldCharType="end"/>
      </w:r>
    </w:p>
    <w:p w:rsidR="00000000" w:rsidRDefault="00E52081" w:rsidP="0004547A">
      <w:pPr>
        <w:pStyle w:val="Style5"/>
        <w:widowControl/>
        <w:spacing w:before="120" w:after="240"/>
        <w:ind w:left="992" w:right="1140"/>
        <w:jc w:val="both"/>
        <w:rPr>
          <w:rStyle w:val="FontStyle41"/>
          <w:lang w:val="es-ES_tradnl" w:eastAsia="es-ES_tradnl"/>
        </w:rPr>
      </w:pPr>
      <w:r>
        <w:rPr>
          <w:rStyle w:val="FontStyle41"/>
          <w:lang w:val="es-ES_tradnl" w:eastAsia="es-ES_tradnl"/>
        </w:rPr>
        <w:br w:type="page"/>
      </w:r>
      <w:r w:rsidR="00CE0A71">
        <w:rPr>
          <w:rStyle w:val="FontStyle41"/>
          <w:lang w:val="es-ES_tradnl" w:eastAsia="es-ES_tradnl"/>
        </w:rPr>
        <w:lastRenderedPageBreak/>
        <w:t>VI. Difusión.</w:t>
      </w:r>
    </w:p>
    <w:p w:rsidR="00000000" w:rsidRDefault="00CE0A71" w:rsidP="00E52081">
      <w:pPr>
        <w:pStyle w:val="Style14"/>
        <w:widowControl/>
        <w:ind w:left="993" w:right="1138"/>
        <w:jc w:val="both"/>
        <w:rPr>
          <w:rStyle w:val="FontStyle42"/>
          <w:lang w:val="es-ES_tradnl" w:eastAsia="es-ES_tradnl"/>
        </w:rPr>
      </w:pPr>
      <w:r>
        <w:rPr>
          <w:rStyle w:val="FontStyle42"/>
          <w:lang w:val="es-ES_tradnl" w:eastAsia="es-ES_tradnl"/>
        </w:rPr>
        <w:t>Se solicita a Ud. dar la más amplia difusión a las presentes instrucciones, especialmente entre las personas encargadas de su aplicación.</w:t>
      </w:r>
    </w:p>
    <w:p w:rsidR="0004547A" w:rsidRDefault="0004547A" w:rsidP="00E52081">
      <w:pPr>
        <w:pStyle w:val="Style14"/>
        <w:widowControl/>
        <w:jc w:val="both"/>
        <w:rPr>
          <w:rStyle w:val="FontStyle42"/>
          <w:lang w:val="es-ES_tradnl" w:eastAsia="es-ES_tradnl"/>
        </w:rPr>
      </w:pPr>
    </w:p>
    <w:p w:rsidR="0004547A" w:rsidRDefault="0004547A" w:rsidP="00E52081">
      <w:pPr>
        <w:pStyle w:val="Style14"/>
        <w:widowControl/>
        <w:jc w:val="both"/>
        <w:rPr>
          <w:rStyle w:val="FontStyle42"/>
          <w:lang w:val="es-ES_tradnl" w:eastAsia="es-ES_tradnl"/>
        </w:rPr>
      </w:pPr>
    </w:p>
    <w:p w:rsidR="0004547A" w:rsidRDefault="0004547A" w:rsidP="00E52081">
      <w:pPr>
        <w:pStyle w:val="Style14"/>
        <w:widowControl/>
        <w:jc w:val="both"/>
        <w:rPr>
          <w:rStyle w:val="FontStyle42"/>
          <w:lang w:val="es-ES_tradnl" w:eastAsia="es-ES_tradnl"/>
        </w:rPr>
      </w:pPr>
    </w:p>
    <w:p w:rsidR="0004547A" w:rsidRDefault="0004547A" w:rsidP="00E52081">
      <w:pPr>
        <w:pStyle w:val="Style14"/>
        <w:widowControl/>
        <w:jc w:val="both"/>
        <w:rPr>
          <w:rStyle w:val="FontStyle42"/>
          <w:lang w:val="es-ES_tradnl" w:eastAsia="es-ES_tradnl"/>
        </w:rPr>
      </w:pPr>
    </w:p>
    <w:p w:rsidR="0004547A" w:rsidRDefault="0004547A" w:rsidP="00E52081">
      <w:pPr>
        <w:pStyle w:val="Style14"/>
        <w:widowControl/>
        <w:jc w:val="both"/>
        <w:rPr>
          <w:rStyle w:val="FontStyle42"/>
          <w:lang w:val="es-ES_tradnl" w:eastAsia="es-ES_tradnl"/>
        </w:rPr>
      </w:pPr>
    </w:p>
    <w:p w:rsidR="0004547A" w:rsidRDefault="0004547A" w:rsidP="00E52081">
      <w:pPr>
        <w:pStyle w:val="Style14"/>
        <w:widowControl/>
        <w:jc w:val="both"/>
        <w:rPr>
          <w:rStyle w:val="FontStyle42"/>
          <w:lang w:val="es-ES_tradnl" w:eastAsia="es-ES_tradnl"/>
        </w:rPr>
      </w:pPr>
    </w:p>
    <w:p w:rsidR="00000000" w:rsidRDefault="00CE0A71" w:rsidP="00E52081">
      <w:pPr>
        <w:pStyle w:val="Style14"/>
        <w:widowControl/>
        <w:jc w:val="both"/>
        <w:rPr>
          <w:rStyle w:val="FontStyle42"/>
          <w:lang w:val="es-ES_tradnl" w:eastAsia="es-ES_tradnl"/>
        </w:rPr>
      </w:pPr>
      <w:r>
        <w:rPr>
          <w:rStyle w:val="FontStyle42"/>
          <w:lang w:val="es-ES_tradnl" w:eastAsia="es-ES_tradnl"/>
        </w:rPr>
        <w:t>Saluda atentamente a Ud..</w:t>
      </w:r>
    </w:p>
    <w:p w:rsidR="0004547A" w:rsidRDefault="0004547A">
      <w:pPr>
        <w:pStyle w:val="Style28"/>
        <w:widowControl/>
        <w:rPr>
          <w:rStyle w:val="FontStyle44"/>
          <w:lang w:val="es-ES_tradnl" w:eastAsia="es-ES_tradnl"/>
        </w:rPr>
      </w:pPr>
    </w:p>
    <w:p w:rsidR="0004547A" w:rsidRDefault="0004547A">
      <w:pPr>
        <w:pStyle w:val="Style28"/>
        <w:widowControl/>
        <w:rPr>
          <w:rStyle w:val="FontStyle44"/>
          <w:lang w:val="es-ES_tradnl" w:eastAsia="es-ES_tradnl"/>
        </w:rPr>
      </w:pPr>
    </w:p>
    <w:p w:rsidR="0004547A" w:rsidRDefault="0004547A">
      <w:pPr>
        <w:pStyle w:val="Style28"/>
        <w:widowControl/>
        <w:rPr>
          <w:rStyle w:val="FontStyle44"/>
          <w:lang w:val="es-ES_tradnl" w:eastAsia="es-ES_tradnl"/>
        </w:rPr>
      </w:pPr>
    </w:p>
    <w:p w:rsidR="0004547A" w:rsidRDefault="0004547A">
      <w:pPr>
        <w:pStyle w:val="Style28"/>
        <w:widowControl/>
        <w:rPr>
          <w:rStyle w:val="FontStyle44"/>
          <w:lang w:val="es-ES_tradnl" w:eastAsia="es-ES_tradnl"/>
        </w:rPr>
      </w:pPr>
    </w:p>
    <w:p w:rsidR="0004547A" w:rsidRDefault="000441BA" w:rsidP="0004547A">
      <w:pPr>
        <w:pStyle w:val="Style28"/>
        <w:widowControl/>
        <w:ind w:left="-709" w:right="-846"/>
        <w:rPr>
          <w:rStyle w:val="FontStyle44"/>
          <w:lang w:val="es-ES_tradnl" w:eastAsia="es-ES_tradnl"/>
        </w:rPr>
      </w:pPr>
      <w:r>
        <w:rPr>
          <w:rFonts w:ascii="Calibri" w:hAnsi="Calibri" w:cs="Calibri"/>
          <w:noProof/>
          <w:sz w:val="18"/>
          <w:szCs w:val="18"/>
        </w:rPr>
        <w:drawing>
          <wp:inline distT="0" distB="0" distL="0" distR="0">
            <wp:extent cx="6884035" cy="3122930"/>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6884035" cy="3122930"/>
                    </a:xfrm>
                    <a:prstGeom prst="rect">
                      <a:avLst/>
                    </a:prstGeom>
                    <a:noFill/>
                    <a:ln w="9525">
                      <a:noFill/>
                      <a:miter lim="800000"/>
                      <a:headEnd/>
                      <a:tailEnd/>
                    </a:ln>
                  </pic:spPr>
                </pic:pic>
              </a:graphicData>
            </a:graphic>
          </wp:inline>
        </w:drawing>
      </w:r>
    </w:p>
    <w:p w:rsidR="00000000" w:rsidRDefault="00CE0A71" w:rsidP="0004547A">
      <w:pPr>
        <w:pStyle w:val="Style18"/>
        <w:widowControl/>
        <w:ind w:left="284"/>
        <w:rPr>
          <w:rStyle w:val="FontStyle42"/>
          <w:lang w:val="es-ES_tradnl" w:eastAsia="es-ES_tradnl"/>
        </w:rPr>
      </w:pPr>
      <w:r>
        <w:rPr>
          <w:rStyle w:val="FontStyle42"/>
          <w:lang w:val="es-ES_tradnl" w:eastAsia="es-ES_tradnl"/>
        </w:rPr>
        <w:t>- IODOS LOS SEREMI DE SALUD (Adjunta 3 anexos)</w:t>
      </w:r>
    </w:p>
    <w:p w:rsidR="00000000" w:rsidRDefault="00CE0A71" w:rsidP="0004547A">
      <w:pPr>
        <w:pStyle w:val="Style18"/>
        <w:widowControl/>
        <w:ind w:left="284"/>
        <w:rPr>
          <w:rStyle w:val="FontStyle42"/>
          <w:lang w:val="es-ES_tradnl" w:eastAsia="es-ES_tradnl"/>
        </w:rPr>
      </w:pPr>
      <w:r>
        <w:rPr>
          <w:rStyle w:val="FontStyle42"/>
          <w:lang w:val="es-ES_tradnl" w:eastAsia="es-ES_tradnl"/>
        </w:rPr>
        <w:t>- SUBSECRETARIA DE SALUD PÚBLICA (Adjunta 3 anexos)</w:t>
      </w:r>
    </w:p>
    <w:p w:rsidR="00000000" w:rsidRDefault="00CE0A71" w:rsidP="0004547A">
      <w:pPr>
        <w:pStyle w:val="Style18"/>
        <w:widowControl/>
        <w:ind w:left="284"/>
        <w:rPr>
          <w:rStyle w:val="FontStyle42"/>
          <w:lang w:val="es-ES_tradnl" w:eastAsia="es-ES_tradnl"/>
        </w:rPr>
      </w:pPr>
      <w:r>
        <w:rPr>
          <w:rStyle w:val="FontStyle42"/>
          <w:lang w:val="es-ES_tradnl" w:eastAsia="es-ES_tradnl"/>
        </w:rPr>
        <w:t>- TODAS LAS COMISIONES DE MEDICINA PREVENTIVA E INVALIDEZ (Adjunta 3 anexos)</w:t>
      </w:r>
    </w:p>
    <w:p w:rsidR="00000000" w:rsidRDefault="00CE0A71" w:rsidP="0004547A">
      <w:pPr>
        <w:pStyle w:val="Style18"/>
        <w:widowControl/>
        <w:ind w:left="284"/>
        <w:rPr>
          <w:rStyle w:val="FontStyle42"/>
          <w:lang w:val="es-ES_tradnl" w:eastAsia="es-ES_tradnl"/>
        </w:rPr>
      </w:pPr>
      <w:r>
        <w:rPr>
          <w:rStyle w:val="FontStyle42"/>
          <w:lang w:val="es-ES_tradnl" w:eastAsia="es-ES_tradnl"/>
        </w:rPr>
        <w:t>- COORDINADORA NACIONAL DE COMPIN (Adjunta 3 anexos)</w:t>
      </w:r>
    </w:p>
    <w:p w:rsidR="00000000" w:rsidRDefault="00CE0A71" w:rsidP="0004547A">
      <w:pPr>
        <w:pStyle w:val="Style18"/>
        <w:widowControl/>
        <w:ind w:left="284"/>
        <w:rPr>
          <w:rStyle w:val="FontStyle42"/>
          <w:lang w:val="es-ES_tradnl" w:eastAsia="es-ES_tradnl"/>
        </w:rPr>
      </w:pPr>
      <w:r>
        <w:rPr>
          <w:rStyle w:val="FontStyle42"/>
          <w:lang w:val="es-ES_tradnl" w:eastAsia="es-ES_tradnl"/>
        </w:rPr>
        <w:t>- SUPERINTENDE</w:t>
      </w:r>
      <w:r>
        <w:rPr>
          <w:rStyle w:val="FontStyle42"/>
          <w:lang w:val="es-ES_tradnl" w:eastAsia="es-ES_tradnl"/>
        </w:rPr>
        <w:t>NCIA DE SALUD (Adjunta 3 anexos)</w:t>
      </w:r>
    </w:p>
    <w:p w:rsidR="00000000" w:rsidRDefault="00CE0A71" w:rsidP="0004547A">
      <w:pPr>
        <w:pStyle w:val="Style18"/>
        <w:widowControl/>
        <w:ind w:left="284"/>
        <w:rPr>
          <w:rStyle w:val="FontStyle42"/>
          <w:lang w:val="es-ES_tradnl" w:eastAsia="es-ES_tradnl"/>
        </w:rPr>
      </w:pPr>
      <w:r>
        <w:rPr>
          <w:rStyle w:val="FontStyle42"/>
          <w:lang w:val="es-ES_tradnl" w:eastAsia="es-ES_tradnl"/>
        </w:rPr>
        <w:t>- INSTITUCIONES DE SALUD PREVISIONAL (Adjunta 3 anexos)</w:t>
      </w:r>
    </w:p>
    <w:p w:rsidR="00000000" w:rsidRDefault="00CE0A71" w:rsidP="0004547A">
      <w:pPr>
        <w:pStyle w:val="Style18"/>
        <w:widowControl/>
        <w:ind w:left="284"/>
        <w:rPr>
          <w:rStyle w:val="FontStyle42"/>
          <w:lang w:val="es-ES_tradnl" w:eastAsia="es-ES_tradnl"/>
        </w:rPr>
      </w:pPr>
      <w:r>
        <w:rPr>
          <w:rStyle w:val="FontStyle42"/>
          <w:lang w:val="es-ES_tradnl" w:eastAsia="es-ES_tradnl"/>
        </w:rPr>
        <w:t>- DR. ENRIQUE PARIS M.. PRESIDENTE DEL COLEGIO MÉDICO DE CHILE (Adjunta 3 anexos)</w:t>
      </w: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rsidP="0004547A">
      <w:pPr>
        <w:pStyle w:val="Style26"/>
        <w:widowControl/>
        <w:jc w:val="right"/>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4547A" w:rsidRDefault="0004547A">
      <w:pPr>
        <w:pStyle w:val="Style26"/>
        <w:widowControl/>
        <w:rPr>
          <w:rStyle w:val="FontStyle48"/>
          <w:lang w:val="es-ES_tradnl" w:eastAsia="es-ES_tradnl"/>
        </w:rPr>
      </w:pPr>
    </w:p>
    <w:p w:rsidR="00000000" w:rsidRDefault="00CE0A71" w:rsidP="0004547A">
      <w:pPr>
        <w:pStyle w:val="Style26"/>
        <w:widowControl/>
        <w:jc w:val="right"/>
        <w:rPr>
          <w:rStyle w:val="FontStyle48"/>
          <w:lang w:val="es-ES_tradnl" w:eastAsia="es-ES_tradnl"/>
        </w:rPr>
      </w:pPr>
      <w:r>
        <w:rPr>
          <w:rStyle w:val="FontStyle48"/>
          <w:lang w:val="es-ES_tradnl" w:eastAsia="es-ES_tradnl"/>
        </w:rPr>
        <w:fldChar w:fldCharType="begin"/>
      </w:r>
      <w:r>
        <w:rPr>
          <w:rStyle w:val="FontStyle48"/>
          <w:lang w:val="es-ES_tradnl" w:eastAsia="es-ES_tradnl"/>
        </w:rPr>
        <w:instrText>PAGE</w:instrText>
      </w:r>
      <w:r>
        <w:rPr>
          <w:rStyle w:val="FontStyle48"/>
          <w:lang w:val="es-ES_tradnl" w:eastAsia="es-ES_tradnl"/>
        </w:rPr>
        <w:fldChar w:fldCharType="separate"/>
      </w:r>
      <w:r>
        <w:rPr>
          <w:rStyle w:val="FontStyle48"/>
          <w:lang w:val="es-ES_tradnl" w:eastAsia="es-ES_tradnl"/>
        </w:rPr>
        <w:t>8</w:t>
      </w:r>
      <w:r>
        <w:rPr>
          <w:rStyle w:val="FontStyle48"/>
          <w:lang w:val="es-ES_tradnl" w:eastAsia="es-ES_tradnl"/>
        </w:rPr>
        <w:fldChar w:fldCharType="end"/>
      </w:r>
    </w:p>
    <w:p w:rsidR="0004547A" w:rsidRDefault="0004547A">
      <w:pPr>
        <w:pStyle w:val="Style5"/>
        <w:widowControl/>
        <w:rPr>
          <w:rStyle w:val="FontStyle41"/>
          <w:lang w:val="es-ES_tradnl" w:eastAsia="es-ES_tradnl"/>
        </w:rPr>
      </w:pPr>
    </w:p>
    <w:p w:rsidR="000441BA" w:rsidRDefault="00E52081" w:rsidP="000441BA">
      <w:pPr>
        <w:pStyle w:val="Style5"/>
        <w:widowControl/>
        <w:rPr>
          <w:rStyle w:val="FontStyle41"/>
          <w:lang w:val="es-ES_tradnl" w:eastAsia="es-ES_tradnl"/>
        </w:rPr>
      </w:pPr>
      <w:r>
        <w:rPr>
          <w:rStyle w:val="FontStyle41"/>
          <w:lang w:val="es-ES_tradnl" w:eastAsia="es-ES_tradnl"/>
        </w:rPr>
        <w:br w:type="page"/>
      </w:r>
    </w:p>
    <w:p w:rsidR="000441BA" w:rsidRDefault="000441BA" w:rsidP="000441BA">
      <w:pPr>
        <w:pStyle w:val="Style5"/>
        <w:widowControl/>
        <w:rPr>
          <w:rStyle w:val="FontStyle41"/>
          <w:lang w:val="es-ES_tradnl" w:eastAsia="es-ES_tradnl"/>
        </w:rPr>
      </w:pPr>
    </w:p>
    <w:p w:rsidR="00000000" w:rsidRDefault="000441BA" w:rsidP="000441BA">
      <w:pPr>
        <w:pStyle w:val="Style5"/>
        <w:widowControl/>
        <w:rPr>
          <w:rStyle w:val="FontStyle41"/>
          <w:lang w:val="es-ES_tradnl" w:eastAsia="es-ES_tradnl"/>
        </w:rPr>
      </w:pPr>
      <w:r>
        <w:rPr>
          <w:b/>
          <w:bCs/>
          <w:noProof/>
          <w:sz w:val="22"/>
          <w:szCs w:val="22"/>
        </w:rPr>
        <w:drawing>
          <wp:inline distT="0" distB="0" distL="0" distR="0">
            <wp:extent cx="6677025" cy="9747885"/>
            <wp:effectExtent l="1905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6677025" cy="9747885"/>
                    </a:xfrm>
                    <a:prstGeom prst="rect">
                      <a:avLst/>
                    </a:prstGeom>
                    <a:noFill/>
                    <a:ln w="9525">
                      <a:noFill/>
                      <a:miter lim="800000"/>
                      <a:headEnd/>
                      <a:tailEnd/>
                    </a:ln>
                  </pic:spPr>
                </pic:pic>
              </a:graphicData>
            </a:graphic>
          </wp:inline>
        </w:drawing>
      </w:r>
    </w:p>
    <w:p w:rsidR="000441BA" w:rsidRDefault="000441BA" w:rsidP="000441BA">
      <w:pPr>
        <w:pStyle w:val="Style5"/>
        <w:widowControl/>
        <w:rPr>
          <w:rStyle w:val="FontStyle41"/>
          <w:lang w:val="es-ES_tradnl" w:eastAsia="es-ES_tradnl"/>
        </w:rPr>
      </w:pPr>
    </w:p>
    <w:p w:rsidR="000441BA" w:rsidRDefault="000441BA" w:rsidP="000441BA">
      <w:pPr>
        <w:pStyle w:val="Style5"/>
        <w:widowControl/>
        <w:rPr>
          <w:rStyle w:val="FontStyle41"/>
          <w:lang w:val="es-ES_tradnl" w:eastAsia="es-ES_tradnl"/>
        </w:rPr>
      </w:pPr>
    </w:p>
    <w:p w:rsidR="000441BA" w:rsidRDefault="000441BA" w:rsidP="000441BA">
      <w:pPr>
        <w:pStyle w:val="Style5"/>
        <w:widowControl/>
        <w:ind w:left="-709"/>
        <w:rPr>
          <w:rStyle w:val="FontStyle41"/>
          <w:lang w:val="es-ES_tradnl" w:eastAsia="es-ES_tradnl"/>
        </w:rPr>
      </w:pPr>
      <w:r>
        <w:rPr>
          <w:b/>
          <w:bCs/>
          <w:noProof/>
          <w:sz w:val="22"/>
          <w:szCs w:val="22"/>
        </w:rPr>
        <w:lastRenderedPageBreak/>
        <w:drawing>
          <wp:inline distT="0" distB="0" distL="0" distR="0">
            <wp:extent cx="7056120" cy="10541635"/>
            <wp:effectExtent l="1905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a:stretch>
                      <a:fillRect/>
                    </a:stretch>
                  </pic:blipFill>
                  <pic:spPr bwMode="auto">
                    <a:xfrm>
                      <a:off x="0" y="0"/>
                      <a:ext cx="7056120" cy="10541635"/>
                    </a:xfrm>
                    <a:prstGeom prst="rect">
                      <a:avLst/>
                    </a:prstGeom>
                    <a:noFill/>
                    <a:ln w="9525">
                      <a:noFill/>
                      <a:miter lim="800000"/>
                      <a:headEnd/>
                      <a:tailEnd/>
                    </a:ln>
                  </pic:spPr>
                </pic:pic>
              </a:graphicData>
            </a:graphic>
          </wp:inline>
        </w:drawing>
      </w:r>
    </w:p>
    <w:p w:rsidR="000441BA" w:rsidRDefault="000441BA" w:rsidP="000441BA">
      <w:pPr>
        <w:pStyle w:val="Style5"/>
        <w:widowControl/>
        <w:rPr>
          <w:rStyle w:val="FontStyle41"/>
          <w:lang w:val="es-ES_tradnl" w:eastAsia="es-ES_tradnl"/>
        </w:rPr>
      </w:pPr>
    </w:p>
    <w:p w:rsidR="000441BA" w:rsidRDefault="000441BA" w:rsidP="000441BA">
      <w:pPr>
        <w:pStyle w:val="Style5"/>
        <w:widowControl/>
        <w:ind w:left="-426" w:firstLine="426"/>
        <w:rPr>
          <w:rStyle w:val="FontStyle41"/>
          <w:lang w:val="es-ES_tradnl" w:eastAsia="es-ES_tradnl"/>
        </w:rPr>
      </w:pPr>
      <w:r>
        <w:rPr>
          <w:b/>
          <w:bCs/>
          <w:noProof/>
          <w:sz w:val="22"/>
          <w:szCs w:val="22"/>
        </w:rPr>
        <w:lastRenderedPageBreak/>
        <w:drawing>
          <wp:inline distT="0" distB="0" distL="0" distR="0">
            <wp:extent cx="6694170" cy="10179050"/>
            <wp:effectExtent l="1905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srcRect/>
                    <a:stretch>
                      <a:fillRect/>
                    </a:stretch>
                  </pic:blipFill>
                  <pic:spPr bwMode="auto">
                    <a:xfrm>
                      <a:off x="0" y="0"/>
                      <a:ext cx="6694170" cy="10179050"/>
                    </a:xfrm>
                    <a:prstGeom prst="rect">
                      <a:avLst/>
                    </a:prstGeom>
                    <a:noFill/>
                    <a:ln w="9525">
                      <a:noFill/>
                      <a:miter lim="800000"/>
                      <a:headEnd/>
                      <a:tailEnd/>
                    </a:ln>
                  </pic:spPr>
                </pic:pic>
              </a:graphicData>
            </a:graphic>
          </wp:inline>
        </w:drawing>
      </w:r>
    </w:p>
    <w:sectPr w:rsidR="000441BA" w:rsidSect="00860C52">
      <w:type w:val="continuous"/>
      <w:pgSz w:w="12240" w:h="20160" w:code="5"/>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A71" w:rsidRDefault="00CE0A71">
      <w:r>
        <w:separator/>
      </w:r>
    </w:p>
  </w:endnote>
  <w:endnote w:type="continuationSeparator" w:id="0">
    <w:p w:rsidR="00CE0A71" w:rsidRDefault="00CE0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A71" w:rsidRDefault="00CE0A71">
      <w:r>
        <w:separator/>
      </w:r>
    </w:p>
  </w:footnote>
  <w:footnote w:type="continuationSeparator" w:id="0">
    <w:p w:rsidR="00CE0A71" w:rsidRDefault="00CE0A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44AFB"/>
    <w:multiLevelType w:val="hybridMultilevel"/>
    <w:tmpl w:val="BB4ABFD0"/>
    <w:lvl w:ilvl="0" w:tplc="358E1958">
      <w:start w:val="1"/>
      <w:numFmt w:val="lowerLetter"/>
      <w:lvlText w:val="%1)"/>
      <w:lvlJc w:val="left"/>
      <w:pPr>
        <w:ind w:left="1353" w:hanging="360"/>
      </w:pPr>
      <w:rPr>
        <w:rFonts w:hint="default"/>
      </w:rPr>
    </w:lvl>
    <w:lvl w:ilvl="1" w:tplc="340A0019" w:tentative="1">
      <w:start w:val="1"/>
      <w:numFmt w:val="lowerLetter"/>
      <w:lvlText w:val="%2."/>
      <w:lvlJc w:val="left"/>
      <w:pPr>
        <w:ind w:left="2073" w:hanging="360"/>
      </w:pPr>
    </w:lvl>
    <w:lvl w:ilvl="2" w:tplc="340A001B" w:tentative="1">
      <w:start w:val="1"/>
      <w:numFmt w:val="lowerRoman"/>
      <w:lvlText w:val="%3."/>
      <w:lvlJc w:val="right"/>
      <w:pPr>
        <w:ind w:left="2793" w:hanging="180"/>
      </w:pPr>
    </w:lvl>
    <w:lvl w:ilvl="3" w:tplc="340A000F" w:tentative="1">
      <w:start w:val="1"/>
      <w:numFmt w:val="decimal"/>
      <w:lvlText w:val="%4."/>
      <w:lvlJc w:val="left"/>
      <w:pPr>
        <w:ind w:left="3513" w:hanging="360"/>
      </w:pPr>
    </w:lvl>
    <w:lvl w:ilvl="4" w:tplc="340A0019" w:tentative="1">
      <w:start w:val="1"/>
      <w:numFmt w:val="lowerLetter"/>
      <w:lvlText w:val="%5."/>
      <w:lvlJc w:val="left"/>
      <w:pPr>
        <w:ind w:left="4233" w:hanging="360"/>
      </w:pPr>
    </w:lvl>
    <w:lvl w:ilvl="5" w:tplc="340A001B" w:tentative="1">
      <w:start w:val="1"/>
      <w:numFmt w:val="lowerRoman"/>
      <w:lvlText w:val="%6."/>
      <w:lvlJc w:val="right"/>
      <w:pPr>
        <w:ind w:left="4953" w:hanging="180"/>
      </w:pPr>
    </w:lvl>
    <w:lvl w:ilvl="6" w:tplc="340A000F" w:tentative="1">
      <w:start w:val="1"/>
      <w:numFmt w:val="decimal"/>
      <w:lvlText w:val="%7."/>
      <w:lvlJc w:val="left"/>
      <w:pPr>
        <w:ind w:left="5673" w:hanging="360"/>
      </w:pPr>
    </w:lvl>
    <w:lvl w:ilvl="7" w:tplc="340A0019" w:tentative="1">
      <w:start w:val="1"/>
      <w:numFmt w:val="lowerLetter"/>
      <w:lvlText w:val="%8."/>
      <w:lvlJc w:val="left"/>
      <w:pPr>
        <w:ind w:left="6393" w:hanging="360"/>
      </w:pPr>
    </w:lvl>
    <w:lvl w:ilvl="8" w:tplc="340A001B" w:tentative="1">
      <w:start w:val="1"/>
      <w:numFmt w:val="lowerRoman"/>
      <w:lvlText w:val="%9."/>
      <w:lvlJc w:val="right"/>
      <w:pPr>
        <w:ind w:left="7113" w:hanging="180"/>
      </w:pPr>
    </w:lvl>
  </w:abstractNum>
  <w:abstractNum w:abstractNumId="1">
    <w:nsid w:val="6CEF6EB4"/>
    <w:multiLevelType w:val="hybridMultilevel"/>
    <w:tmpl w:val="A8205F92"/>
    <w:lvl w:ilvl="0" w:tplc="E08E357E">
      <w:start w:val="1"/>
      <w:numFmt w:val="upperRoman"/>
      <w:lvlText w:val="%1."/>
      <w:lvlJc w:val="left"/>
      <w:pPr>
        <w:ind w:left="862" w:hanging="720"/>
      </w:pPr>
      <w:rPr>
        <w:rFonts w:hint="default"/>
      </w:rPr>
    </w:lvl>
    <w:lvl w:ilvl="1" w:tplc="340A0019" w:tentative="1">
      <w:start w:val="1"/>
      <w:numFmt w:val="lowerLetter"/>
      <w:lvlText w:val="%2."/>
      <w:lvlJc w:val="left"/>
      <w:pPr>
        <w:ind w:left="1222" w:hanging="360"/>
      </w:pPr>
    </w:lvl>
    <w:lvl w:ilvl="2" w:tplc="340A001B" w:tentative="1">
      <w:start w:val="1"/>
      <w:numFmt w:val="lowerRoman"/>
      <w:lvlText w:val="%3."/>
      <w:lvlJc w:val="right"/>
      <w:pPr>
        <w:ind w:left="1942" w:hanging="180"/>
      </w:pPr>
    </w:lvl>
    <w:lvl w:ilvl="3" w:tplc="340A000F" w:tentative="1">
      <w:start w:val="1"/>
      <w:numFmt w:val="decimal"/>
      <w:lvlText w:val="%4."/>
      <w:lvlJc w:val="left"/>
      <w:pPr>
        <w:ind w:left="2662" w:hanging="360"/>
      </w:pPr>
    </w:lvl>
    <w:lvl w:ilvl="4" w:tplc="340A0019" w:tentative="1">
      <w:start w:val="1"/>
      <w:numFmt w:val="lowerLetter"/>
      <w:lvlText w:val="%5."/>
      <w:lvlJc w:val="left"/>
      <w:pPr>
        <w:ind w:left="3382" w:hanging="360"/>
      </w:pPr>
    </w:lvl>
    <w:lvl w:ilvl="5" w:tplc="340A001B" w:tentative="1">
      <w:start w:val="1"/>
      <w:numFmt w:val="lowerRoman"/>
      <w:lvlText w:val="%6."/>
      <w:lvlJc w:val="right"/>
      <w:pPr>
        <w:ind w:left="4102" w:hanging="180"/>
      </w:pPr>
    </w:lvl>
    <w:lvl w:ilvl="6" w:tplc="340A000F" w:tentative="1">
      <w:start w:val="1"/>
      <w:numFmt w:val="decimal"/>
      <w:lvlText w:val="%7."/>
      <w:lvlJc w:val="left"/>
      <w:pPr>
        <w:ind w:left="4822" w:hanging="360"/>
      </w:pPr>
    </w:lvl>
    <w:lvl w:ilvl="7" w:tplc="340A0019" w:tentative="1">
      <w:start w:val="1"/>
      <w:numFmt w:val="lowerLetter"/>
      <w:lvlText w:val="%8."/>
      <w:lvlJc w:val="left"/>
      <w:pPr>
        <w:ind w:left="5542" w:hanging="360"/>
      </w:pPr>
    </w:lvl>
    <w:lvl w:ilvl="8" w:tplc="340A001B" w:tentative="1">
      <w:start w:val="1"/>
      <w:numFmt w:val="lowerRoman"/>
      <w:lvlText w:val="%9."/>
      <w:lvlJc w:val="right"/>
      <w:pPr>
        <w:ind w:left="6262" w:hanging="180"/>
      </w:pPr>
    </w:lvl>
  </w:abstractNum>
  <w:abstractNum w:abstractNumId="2">
    <w:nsid w:val="7D591D75"/>
    <w:multiLevelType w:val="hybridMultilevel"/>
    <w:tmpl w:val="AB348F4A"/>
    <w:lvl w:ilvl="0" w:tplc="340A0001">
      <w:start w:val="1"/>
      <w:numFmt w:val="bullet"/>
      <w:lvlText w:val=""/>
      <w:lvlJc w:val="left"/>
      <w:pPr>
        <w:ind w:left="1713" w:hanging="360"/>
      </w:pPr>
      <w:rPr>
        <w:rFonts w:ascii="Symbol" w:hAnsi="Symbol" w:hint="default"/>
      </w:rPr>
    </w:lvl>
    <w:lvl w:ilvl="1" w:tplc="340A0003" w:tentative="1">
      <w:start w:val="1"/>
      <w:numFmt w:val="bullet"/>
      <w:lvlText w:val="o"/>
      <w:lvlJc w:val="left"/>
      <w:pPr>
        <w:ind w:left="2433" w:hanging="360"/>
      </w:pPr>
      <w:rPr>
        <w:rFonts w:ascii="Courier New" w:hAnsi="Courier New" w:cs="Courier New" w:hint="default"/>
      </w:rPr>
    </w:lvl>
    <w:lvl w:ilvl="2" w:tplc="340A0005" w:tentative="1">
      <w:start w:val="1"/>
      <w:numFmt w:val="bullet"/>
      <w:lvlText w:val=""/>
      <w:lvlJc w:val="left"/>
      <w:pPr>
        <w:ind w:left="3153" w:hanging="360"/>
      </w:pPr>
      <w:rPr>
        <w:rFonts w:ascii="Wingdings" w:hAnsi="Wingdings" w:hint="default"/>
      </w:rPr>
    </w:lvl>
    <w:lvl w:ilvl="3" w:tplc="340A0001" w:tentative="1">
      <w:start w:val="1"/>
      <w:numFmt w:val="bullet"/>
      <w:lvlText w:val=""/>
      <w:lvlJc w:val="left"/>
      <w:pPr>
        <w:ind w:left="3873" w:hanging="360"/>
      </w:pPr>
      <w:rPr>
        <w:rFonts w:ascii="Symbol" w:hAnsi="Symbol" w:hint="default"/>
      </w:rPr>
    </w:lvl>
    <w:lvl w:ilvl="4" w:tplc="340A0003" w:tentative="1">
      <w:start w:val="1"/>
      <w:numFmt w:val="bullet"/>
      <w:lvlText w:val="o"/>
      <w:lvlJc w:val="left"/>
      <w:pPr>
        <w:ind w:left="4593" w:hanging="360"/>
      </w:pPr>
      <w:rPr>
        <w:rFonts w:ascii="Courier New" w:hAnsi="Courier New" w:cs="Courier New" w:hint="default"/>
      </w:rPr>
    </w:lvl>
    <w:lvl w:ilvl="5" w:tplc="340A0005" w:tentative="1">
      <w:start w:val="1"/>
      <w:numFmt w:val="bullet"/>
      <w:lvlText w:val=""/>
      <w:lvlJc w:val="left"/>
      <w:pPr>
        <w:ind w:left="5313" w:hanging="360"/>
      </w:pPr>
      <w:rPr>
        <w:rFonts w:ascii="Wingdings" w:hAnsi="Wingdings" w:hint="default"/>
      </w:rPr>
    </w:lvl>
    <w:lvl w:ilvl="6" w:tplc="340A0001" w:tentative="1">
      <w:start w:val="1"/>
      <w:numFmt w:val="bullet"/>
      <w:lvlText w:val=""/>
      <w:lvlJc w:val="left"/>
      <w:pPr>
        <w:ind w:left="6033" w:hanging="360"/>
      </w:pPr>
      <w:rPr>
        <w:rFonts w:ascii="Symbol" w:hAnsi="Symbol" w:hint="default"/>
      </w:rPr>
    </w:lvl>
    <w:lvl w:ilvl="7" w:tplc="340A0003" w:tentative="1">
      <w:start w:val="1"/>
      <w:numFmt w:val="bullet"/>
      <w:lvlText w:val="o"/>
      <w:lvlJc w:val="left"/>
      <w:pPr>
        <w:ind w:left="6753" w:hanging="360"/>
      </w:pPr>
      <w:rPr>
        <w:rFonts w:ascii="Courier New" w:hAnsi="Courier New" w:cs="Courier New" w:hint="default"/>
      </w:rPr>
    </w:lvl>
    <w:lvl w:ilvl="8" w:tplc="340A0005" w:tentative="1">
      <w:start w:val="1"/>
      <w:numFmt w:val="bullet"/>
      <w:lvlText w:val=""/>
      <w:lvlJc w:val="left"/>
      <w:pPr>
        <w:ind w:left="747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B971A5"/>
    <w:rsid w:val="000441BA"/>
    <w:rsid w:val="0004547A"/>
    <w:rsid w:val="0022076A"/>
    <w:rsid w:val="00250AA8"/>
    <w:rsid w:val="00860C52"/>
    <w:rsid w:val="00B971A5"/>
    <w:rsid w:val="00CE0A71"/>
    <w:rsid w:val="00E52081"/>
    <w:rsid w:val="00FF6A5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style>
  <w:style w:type="paragraph" w:customStyle="1" w:styleId="Style13">
    <w:name w:val="Style13"/>
    <w:basedOn w:val="Normal"/>
    <w:uiPriority w:val="99"/>
  </w:style>
  <w:style w:type="paragraph" w:customStyle="1" w:styleId="Style14">
    <w:name w:val="Style14"/>
    <w:basedOn w:val="Normal"/>
    <w:uiPriority w:val="99"/>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style>
  <w:style w:type="paragraph" w:customStyle="1" w:styleId="Style18">
    <w:name w:val="Style18"/>
    <w:basedOn w:val="Normal"/>
    <w:uiPriority w:val="99"/>
  </w:style>
  <w:style w:type="paragraph" w:customStyle="1" w:styleId="Style19">
    <w:name w:val="Style19"/>
    <w:basedOn w:val="Normal"/>
    <w:uiPriority w:val="99"/>
  </w:style>
  <w:style w:type="paragraph" w:customStyle="1" w:styleId="Style20">
    <w:name w:val="Style20"/>
    <w:basedOn w:val="Normal"/>
    <w:uiPriority w:val="99"/>
  </w:style>
  <w:style w:type="paragraph" w:customStyle="1" w:styleId="Style21">
    <w:name w:val="Style21"/>
    <w:basedOn w:val="Normal"/>
    <w:uiPriority w:val="99"/>
  </w:style>
  <w:style w:type="paragraph" w:customStyle="1" w:styleId="Style22">
    <w:name w:val="Style22"/>
    <w:basedOn w:val="Normal"/>
    <w:uiPriority w:val="99"/>
  </w:style>
  <w:style w:type="paragraph" w:customStyle="1" w:styleId="Style23">
    <w:name w:val="Style23"/>
    <w:basedOn w:val="Normal"/>
    <w:uiPriority w:val="99"/>
  </w:style>
  <w:style w:type="paragraph" w:customStyle="1" w:styleId="Style24">
    <w:name w:val="Style24"/>
    <w:basedOn w:val="Normal"/>
    <w:uiPriority w:val="99"/>
  </w:style>
  <w:style w:type="paragraph" w:customStyle="1" w:styleId="Style25">
    <w:name w:val="Style25"/>
    <w:basedOn w:val="Normal"/>
    <w:uiPriority w:val="99"/>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style>
  <w:style w:type="paragraph" w:customStyle="1" w:styleId="Style31">
    <w:name w:val="Style31"/>
    <w:basedOn w:val="Normal"/>
    <w:uiPriority w:val="99"/>
  </w:style>
  <w:style w:type="character" w:customStyle="1" w:styleId="FontStyle33">
    <w:name w:val="Font Style33"/>
    <w:basedOn w:val="Fuentedeprrafopredeter"/>
    <w:uiPriority w:val="99"/>
    <w:rPr>
      <w:rFonts w:ascii="Times New Roman" w:hAnsi="Times New Roman" w:cs="Times New Roman"/>
      <w:b/>
      <w:bCs/>
      <w:sz w:val="14"/>
      <w:szCs w:val="14"/>
    </w:rPr>
  </w:style>
  <w:style w:type="character" w:customStyle="1" w:styleId="FontStyle34">
    <w:name w:val="Font Style34"/>
    <w:basedOn w:val="Fuentedeprrafopredeter"/>
    <w:uiPriority w:val="99"/>
    <w:rPr>
      <w:rFonts w:ascii="Calibri" w:hAnsi="Calibri" w:cs="Calibri"/>
      <w:b/>
      <w:bCs/>
      <w:sz w:val="14"/>
      <w:szCs w:val="14"/>
    </w:rPr>
  </w:style>
  <w:style w:type="character" w:customStyle="1" w:styleId="FontStyle35">
    <w:name w:val="Font Style35"/>
    <w:basedOn w:val="Fuentedeprrafopredeter"/>
    <w:uiPriority w:val="99"/>
    <w:rPr>
      <w:rFonts w:ascii="Times New Roman" w:hAnsi="Times New Roman" w:cs="Times New Roman"/>
      <w:b/>
      <w:bCs/>
      <w:i/>
      <w:iCs/>
      <w:sz w:val="22"/>
      <w:szCs w:val="22"/>
    </w:rPr>
  </w:style>
  <w:style w:type="character" w:customStyle="1" w:styleId="FontStyle36">
    <w:name w:val="Font Style36"/>
    <w:basedOn w:val="Fuentedeprrafopredeter"/>
    <w:uiPriority w:val="99"/>
    <w:rPr>
      <w:rFonts w:ascii="Arial Narrow" w:hAnsi="Arial Narrow" w:cs="Arial Narrow"/>
      <w:spacing w:val="50"/>
      <w:sz w:val="40"/>
      <w:szCs w:val="40"/>
    </w:rPr>
  </w:style>
  <w:style w:type="character" w:customStyle="1" w:styleId="FontStyle37">
    <w:name w:val="Font Style37"/>
    <w:basedOn w:val="Fuentedeprrafopredeter"/>
    <w:uiPriority w:val="99"/>
    <w:rPr>
      <w:rFonts w:ascii="Franklin Gothic Medium Cond" w:hAnsi="Franklin Gothic Medium Cond" w:cs="Franklin Gothic Medium Cond"/>
      <w:b/>
      <w:bCs/>
      <w:w w:val="60"/>
      <w:sz w:val="28"/>
      <w:szCs w:val="28"/>
    </w:rPr>
  </w:style>
  <w:style w:type="character" w:customStyle="1" w:styleId="FontStyle38">
    <w:name w:val="Font Style38"/>
    <w:basedOn w:val="Fuentedeprrafopredeter"/>
    <w:uiPriority w:val="99"/>
    <w:rPr>
      <w:rFonts w:ascii="Times New Roman" w:hAnsi="Times New Roman" w:cs="Times New Roman"/>
      <w:b/>
      <w:bCs/>
      <w:spacing w:val="10"/>
      <w:sz w:val="24"/>
      <w:szCs w:val="24"/>
    </w:rPr>
  </w:style>
  <w:style w:type="character" w:customStyle="1" w:styleId="FontStyle39">
    <w:name w:val="Font Style39"/>
    <w:basedOn w:val="Fuentedeprrafopredeter"/>
    <w:uiPriority w:val="99"/>
    <w:rPr>
      <w:rFonts w:ascii="Times New Roman" w:hAnsi="Times New Roman" w:cs="Times New Roman"/>
      <w:b/>
      <w:bCs/>
      <w:i/>
      <w:iCs/>
      <w:sz w:val="18"/>
      <w:szCs w:val="18"/>
    </w:rPr>
  </w:style>
  <w:style w:type="character" w:customStyle="1" w:styleId="FontStyle40">
    <w:name w:val="Font Style40"/>
    <w:basedOn w:val="Fuentedeprrafopredeter"/>
    <w:uiPriority w:val="99"/>
    <w:rPr>
      <w:rFonts w:ascii="Times New Roman" w:hAnsi="Times New Roman" w:cs="Times New Roman"/>
      <w:b/>
      <w:bCs/>
      <w:sz w:val="18"/>
      <w:szCs w:val="18"/>
    </w:rPr>
  </w:style>
  <w:style w:type="character" w:customStyle="1" w:styleId="FontStyle41">
    <w:name w:val="Font Style41"/>
    <w:basedOn w:val="Fuentedeprrafopredeter"/>
    <w:uiPriority w:val="99"/>
    <w:rPr>
      <w:rFonts w:ascii="Times New Roman" w:hAnsi="Times New Roman" w:cs="Times New Roman"/>
      <w:b/>
      <w:bCs/>
      <w:sz w:val="22"/>
      <w:szCs w:val="22"/>
    </w:rPr>
  </w:style>
  <w:style w:type="character" w:customStyle="1" w:styleId="FontStyle42">
    <w:name w:val="Font Style42"/>
    <w:basedOn w:val="Fuentedeprrafopredeter"/>
    <w:uiPriority w:val="99"/>
    <w:rPr>
      <w:rFonts w:ascii="Times New Roman" w:hAnsi="Times New Roman" w:cs="Times New Roman"/>
      <w:sz w:val="22"/>
      <w:szCs w:val="22"/>
    </w:rPr>
  </w:style>
  <w:style w:type="character" w:customStyle="1" w:styleId="FontStyle43">
    <w:name w:val="Font Style43"/>
    <w:basedOn w:val="Fuentedeprrafopredeter"/>
    <w:uiPriority w:val="99"/>
    <w:rPr>
      <w:rFonts w:ascii="Calibri" w:hAnsi="Calibri" w:cs="Calibri"/>
      <w:i/>
      <w:iCs/>
      <w:sz w:val="24"/>
      <w:szCs w:val="24"/>
    </w:rPr>
  </w:style>
  <w:style w:type="character" w:customStyle="1" w:styleId="FontStyle44">
    <w:name w:val="Font Style44"/>
    <w:basedOn w:val="Fuentedeprrafopredeter"/>
    <w:uiPriority w:val="99"/>
    <w:rPr>
      <w:rFonts w:ascii="Calibri" w:hAnsi="Calibri" w:cs="Calibri"/>
      <w:sz w:val="18"/>
      <w:szCs w:val="18"/>
    </w:rPr>
  </w:style>
  <w:style w:type="character" w:customStyle="1" w:styleId="FontStyle45">
    <w:name w:val="Font Style45"/>
    <w:basedOn w:val="Fuentedeprrafopredeter"/>
    <w:uiPriority w:val="99"/>
    <w:rPr>
      <w:rFonts w:ascii="Franklin Gothic Book" w:hAnsi="Franklin Gothic Book" w:cs="Franklin Gothic Book"/>
      <w:b/>
      <w:bCs/>
      <w:spacing w:val="-20"/>
      <w:sz w:val="24"/>
      <w:szCs w:val="24"/>
    </w:rPr>
  </w:style>
  <w:style w:type="character" w:customStyle="1" w:styleId="FontStyle46">
    <w:name w:val="Font Style46"/>
    <w:basedOn w:val="Fuentedeprrafopredeter"/>
    <w:uiPriority w:val="99"/>
    <w:rPr>
      <w:rFonts w:ascii="Arial Narrow" w:hAnsi="Arial Narrow" w:cs="Arial Narrow"/>
      <w:i/>
      <w:iCs/>
      <w:sz w:val="32"/>
      <w:szCs w:val="32"/>
    </w:rPr>
  </w:style>
  <w:style w:type="character" w:customStyle="1" w:styleId="FontStyle47">
    <w:name w:val="Font Style47"/>
    <w:basedOn w:val="Fuentedeprrafopredeter"/>
    <w:uiPriority w:val="99"/>
    <w:rPr>
      <w:rFonts w:ascii="Times New Roman" w:hAnsi="Times New Roman" w:cs="Times New Roman"/>
      <w:b/>
      <w:bCs/>
      <w:i/>
      <w:iCs/>
      <w:spacing w:val="-20"/>
      <w:sz w:val="24"/>
      <w:szCs w:val="24"/>
    </w:rPr>
  </w:style>
  <w:style w:type="character" w:customStyle="1" w:styleId="FontStyle48">
    <w:name w:val="Font Style48"/>
    <w:basedOn w:val="Fuentedeprrafopredeter"/>
    <w:uiPriority w:val="99"/>
    <w:rPr>
      <w:rFonts w:ascii="Times New Roman" w:hAnsi="Times New Roman" w:cs="Times New Roman"/>
      <w:b/>
      <w:bCs/>
      <w:sz w:val="18"/>
      <w:szCs w:val="18"/>
    </w:rPr>
  </w:style>
  <w:style w:type="character" w:customStyle="1" w:styleId="FontStyle49">
    <w:name w:val="Font Style49"/>
    <w:basedOn w:val="Fuentedeprrafopredeter"/>
    <w:uiPriority w:val="99"/>
    <w:rPr>
      <w:rFonts w:ascii="Candara" w:hAnsi="Candara" w:cs="Candara"/>
      <w:b/>
      <w:bCs/>
      <w:sz w:val="34"/>
      <w:szCs w:val="34"/>
    </w:rPr>
  </w:style>
  <w:style w:type="character" w:styleId="Hipervnculo">
    <w:name w:val="Hyperlink"/>
    <w:basedOn w:val="Fuentedeprrafopredeter"/>
    <w:uiPriority w:val="99"/>
    <w:rPr>
      <w:color w:val="000080"/>
      <w:u w:val="single"/>
    </w:rPr>
  </w:style>
  <w:style w:type="paragraph" w:styleId="Prrafodelista">
    <w:name w:val="List Paragraph"/>
    <w:basedOn w:val="Normal"/>
    <w:uiPriority w:val="34"/>
    <w:qFormat/>
    <w:rsid w:val="0022076A"/>
    <w:pPr>
      <w:ind w:left="708"/>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seso.c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11</Pages>
  <Words>2745</Words>
  <Characters>15100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Scanned Document</vt:lpstr>
    </vt:vector>
  </TitlesOfParts>
  <Company/>
  <LinksUpToDate>false</LinksUpToDate>
  <CharactersWithSpaces>17810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LAlcaino</dc:creator>
  <cp:keywords/>
  <dc:description/>
  <cp:lastModifiedBy>LAlcaino</cp:lastModifiedBy>
  <cp:revision>1</cp:revision>
  <dcterms:created xsi:type="dcterms:W3CDTF">2012-05-14T15:38:00Z</dcterms:created>
  <dcterms:modified xsi:type="dcterms:W3CDTF">2012-05-14T20:17:00Z</dcterms:modified>
</cp:coreProperties>
</file>