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A377B" w:rsidRDefault="00B620A9" w:rsidP="002A377B">
      <w:pPr>
        <w:pStyle w:val="Style1"/>
        <w:widowControl/>
        <w:jc w:val="right"/>
        <w:rPr>
          <w:rStyle w:val="FontStyle16"/>
          <w:b/>
          <w:lang w:val="es-ES_tradnl" w:eastAsia="es-ES_tradnl"/>
        </w:rPr>
      </w:pPr>
      <w:r w:rsidRPr="002A377B">
        <w:rPr>
          <w:rStyle w:val="FontStyle16"/>
          <w:b/>
          <w:lang w:val="es-ES_tradnl" w:eastAsia="es-ES_tradnl"/>
        </w:rPr>
        <w:t>AU08-2012-02825</w:t>
      </w:r>
    </w:p>
    <w:p w:rsidR="002A377B" w:rsidRDefault="002A377B">
      <w:pPr>
        <w:pStyle w:val="Style7"/>
        <w:widowControl/>
        <w:rPr>
          <w:rStyle w:val="FontStyle14"/>
          <w:lang w:val="es-ES_tradnl" w:eastAsia="es-ES_tradnl"/>
        </w:rPr>
      </w:pPr>
    </w:p>
    <w:p w:rsidR="002A377B" w:rsidRDefault="002A377B">
      <w:pPr>
        <w:pStyle w:val="Style7"/>
        <w:widowControl/>
        <w:rPr>
          <w:rStyle w:val="FontStyle14"/>
          <w:lang w:val="es-ES_tradnl" w:eastAsia="es-ES_tradnl"/>
        </w:rPr>
      </w:pPr>
    </w:p>
    <w:p w:rsidR="002A377B" w:rsidRDefault="002A377B">
      <w:pPr>
        <w:pStyle w:val="Style5"/>
        <w:widowControl/>
        <w:rPr>
          <w:rStyle w:val="FontStyle15"/>
          <w:lang w:val="es-ES_tradnl" w:eastAsia="es-ES_tradnl"/>
        </w:rPr>
      </w:pPr>
    </w:p>
    <w:p w:rsidR="002A377B" w:rsidRDefault="00C105B1">
      <w:pPr>
        <w:pStyle w:val="Style5"/>
        <w:widowControl/>
        <w:rPr>
          <w:rStyle w:val="FontStyle15"/>
          <w:lang w:val="es-ES_tradnl" w:eastAsia="es-ES_tradnl"/>
        </w:rPr>
      </w:pPr>
      <w:r>
        <w:rPr>
          <w:b/>
          <w:bCs/>
          <w:noProof/>
          <w:spacing w:val="20"/>
          <w:sz w:val="28"/>
          <w:szCs w:val="28"/>
        </w:rPr>
        <w:drawing>
          <wp:inline distT="0" distB="0" distL="0" distR="0">
            <wp:extent cx="5934710" cy="2673985"/>
            <wp:effectExtent l="1905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934710" cy="2673985"/>
                    </a:xfrm>
                    <a:prstGeom prst="rect">
                      <a:avLst/>
                    </a:prstGeom>
                    <a:noFill/>
                    <a:ln w="9525">
                      <a:noFill/>
                      <a:miter lim="800000"/>
                      <a:headEnd/>
                      <a:tailEnd/>
                    </a:ln>
                  </pic:spPr>
                </pic:pic>
              </a:graphicData>
            </a:graphic>
          </wp:inline>
        </w:drawing>
      </w:r>
    </w:p>
    <w:p w:rsidR="002A377B" w:rsidRDefault="002A377B" w:rsidP="002A377B">
      <w:pPr>
        <w:pStyle w:val="Style5"/>
        <w:widowControl/>
        <w:ind w:left="-284" w:right="429"/>
        <w:jc w:val="center"/>
        <w:rPr>
          <w:rStyle w:val="FontStyle15"/>
          <w:lang w:val="es-ES_tradnl" w:eastAsia="es-ES_tradnl"/>
        </w:rPr>
      </w:pPr>
    </w:p>
    <w:p w:rsidR="002A377B" w:rsidRDefault="002A377B" w:rsidP="002A377B">
      <w:pPr>
        <w:pStyle w:val="Style5"/>
        <w:widowControl/>
        <w:ind w:left="-284" w:right="429"/>
        <w:jc w:val="center"/>
        <w:rPr>
          <w:rStyle w:val="FontStyle15"/>
          <w:lang w:val="es-ES_tradnl" w:eastAsia="es-ES_tradnl"/>
        </w:rPr>
      </w:pPr>
    </w:p>
    <w:p w:rsidR="002A377B" w:rsidRDefault="002A377B" w:rsidP="002A377B">
      <w:pPr>
        <w:pStyle w:val="Style5"/>
        <w:widowControl/>
        <w:ind w:left="-284" w:right="429"/>
        <w:jc w:val="center"/>
        <w:rPr>
          <w:rStyle w:val="FontStyle15"/>
          <w:lang w:val="es-ES_tradnl" w:eastAsia="es-ES_tradnl"/>
        </w:rPr>
      </w:pPr>
    </w:p>
    <w:p w:rsidR="002A377B" w:rsidRDefault="002A377B" w:rsidP="002A377B">
      <w:pPr>
        <w:pStyle w:val="Style5"/>
        <w:widowControl/>
        <w:ind w:left="-284" w:right="429"/>
        <w:jc w:val="center"/>
        <w:rPr>
          <w:rStyle w:val="FontStyle15"/>
          <w:lang w:val="es-ES_tradnl" w:eastAsia="es-ES_tradnl"/>
        </w:rPr>
      </w:pPr>
    </w:p>
    <w:p w:rsidR="002A377B" w:rsidRDefault="002A377B" w:rsidP="002A377B">
      <w:pPr>
        <w:pStyle w:val="Style5"/>
        <w:widowControl/>
        <w:ind w:left="-284" w:right="429"/>
        <w:jc w:val="center"/>
        <w:rPr>
          <w:rStyle w:val="FontStyle15"/>
          <w:lang w:val="es-ES_tradnl" w:eastAsia="es-ES_tradnl"/>
        </w:rPr>
      </w:pPr>
    </w:p>
    <w:p w:rsidR="002A377B" w:rsidRDefault="002A377B" w:rsidP="002A377B">
      <w:pPr>
        <w:pStyle w:val="Style5"/>
        <w:widowControl/>
        <w:ind w:left="-284" w:right="429"/>
        <w:jc w:val="center"/>
        <w:rPr>
          <w:rStyle w:val="FontStyle15"/>
          <w:lang w:val="es-ES_tradnl" w:eastAsia="es-ES_tradnl"/>
        </w:rPr>
      </w:pPr>
    </w:p>
    <w:p w:rsidR="002A377B" w:rsidRDefault="002A377B" w:rsidP="002A377B">
      <w:pPr>
        <w:pStyle w:val="Style5"/>
        <w:widowControl/>
        <w:ind w:left="-284" w:right="429"/>
        <w:jc w:val="center"/>
        <w:rPr>
          <w:rStyle w:val="FontStyle15"/>
          <w:lang w:val="es-ES_tradnl" w:eastAsia="es-ES_tradnl"/>
        </w:rPr>
      </w:pPr>
    </w:p>
    <w:p w:rsidR="002A377B" w:rsidRDefault="002A377B" w:rsidP="002A377B">
      <w:pPr>
        <w:pStyle w:val="Style5"/>
        <w:widowControl/>
        <w:ind w:left="-284" w:right="429"/>
        <w:jc w:val="center"/>
        <w:rPr>
          <w:rStyle w:val="FontStyle15"/>
          <w:lang w:val="es-ES_tradnl" w:eastAsia="es-ES_tradnl"/>
        </w:rPr>
      </w:pPr>
    </w:p>
    <w:p w:rsidR="002A377B" w:rsidRDefault="002A377B" w:rsidP="002A377B">
      <w:pPr>
        <w:pStyle w:val="Style5"/>
        <w:widowControl/>
        <w:ind w:left="-284" w:right="429"/>
        <w:jc w:val="center"/>
        <w:rPr>
          <w:rStyle w:val="FontStyle15"/>
          <w:lang w:val="es-ES_tradnl" w:eastAsia="es-ES_tradnl"/>
        </w:rPr>
      </w:pPr>
    </w:p>
    <w:p w:rsidR="002A377B" w:rsidRDefault="002A377B" w:rsidP="002A377B">
      <w:pPr>
        <w:pStyle w:val="Style5"/>
        <w:widowControl/>
        <w:ind w:left="-284" w:right="429"/>
        <w:jc w:val="center"/>
        <w:rPr>
          <w:rStyle w:val="FontStyle15"/>
          <w:lang w:val="es-ES_tradnl" w:eastAsia="es-ES_tradnl"/>
        </w:rPr>
      </w:pPr>
    </w:p>
    <w:p w:rsidR="00000000" w:rsidRPr="002A377B" w:rsidRDefault="00B620A9" w:rsidP="002A377B">
      <w:pPr>
        <w:pStyle w:val="Style5"/>
        <w:widowControl/>
        <w:ind w:left="-284" w:right="429"/>
        <w:jc w:val="center"/>
        <w:rPr>
          <w:rStyle w:val="FontStyle15"/>
          <w:lang w:val="es-ES_tradnl" w:eastAsia="es-ES_tradnl"/>
        </w:rPr>
      </w:pPr>
      <w:r w:rsidRPr="002A377B">
        <w:rPr>
          <w:rStyle w:val="FontStyle15"/>
          <w:lang w:val="es-ES_tradnl" w:eastAsia="es-ES_tradnl"/>
        </w:rPr>
        <w:t>SISTEMA UNICO DE PRESTACIONES FAMILIARES. INSTRUYE A LAS ENTIDADES PAGADORAS DE ASIGNACIÓN FAMILIAR SOBRE LA ACTUALIZACIÓN DE DATOS DEL</w:t>
      </w:r>
    </w:p>
    <w:p w:rsidR="00000000" w:rsidRPr="002A377B" w:rsidRDefault="00B620A9" w:rsidP="002A377B">
      <w:pPr>
        <w:pStyle w:val="Style3"/>
        <w:widowControl/>
        <w:ind w:left="-284" w:right="429"/>
        <w:jc w:val="center"/>
        <w:rPr>
          <w:rStyle w:val="FontStyle15"/>
          <w:lang w:val="es-ES_tradnl" w:eastAsia="es-ES_tradnl"/>
        </w:rPr>
      </w:pPr>
      <w:r w:rsidRPr="002A377B">
        <w:rPr>
          <w:rStyle w:val="FontStyle15"/>
          <w:lang w:val="es-ES_tradnl" w:eastAsia="es-ES_tradnl"/>
        </w:rPr>
        <w:t>SIAGF</w:t>
      </w:r>
    </w:p>
    <w:p w:rsidR="002A377B" w:rsidRDefault="002A377B">
      <w:pPr>
        <w:pStyle w:val="Style1"/>
        <w:widowControl/>
        <w:rPr>
          <w:rStyle w:val="FontStyle16"/>
          <w:lang w:val="es-ES_tradnl" w:eastAsia="es-ES_tradnl"/>
        </w:rPr>
      </w:pPr>
    </w:p>
    <w:p w:rsidR="00C105B1" w:rsidRDefault="002A377B" w:rsidP="002A377B">
      <w:pPr>
        <w:pStyle w:val="Style1"/>
        <w:widowControl/>
        <w:jc w:val="both"/>
        <w:rPr>
          <w:rStyle w:val="FontStyle16"/>
          <w:lang w:val="es-ES_tradnl" w:eastAsia="es-ES_tradnl"/>
        </w:rPr>
      </w:pPr>
      <w:r>
        <w:rPr>
          <w:rStyle w:val="FontStyle16"/>
          <w:lang w:val="es-ES_tradnl" w:eastAsia="es-ES_tradnl"/>
        </w:rPr>
        <w:br w:type="page"/>
      </w:r>
    </w:p>
    <w:p w:rsidR="00C105B1" w:rsidRDefault="00C105B1" w:rsidP="002A377B">
      <w:pPr>
        <w:pStyle w:val="Style1"/>
        <w:widowControl/>
        <w:jc w:val="both"/>
        <w:rPr>
          <w:rStyle w:val="FontStyle16"/>
          <w:lang w:val="es-ES_tradnl" w:eastAsia="es-ES_tradnl"/>
        </w:rPr>
      </w:pPr>
    </w:p>
    <w:p w:rsidR="00C105B1" w:rsidRDefault="00C105B1" w:rsidP="002A377B">
      <w:pPr>
        <w:pStyle w:val="Style1"/>
        <w:widowControl/>
        <w:jc w:val="both"/>
        <w:rPr>
          <w:rStyle w:val="FontStyle16"/>
          <w:lang w:val="es-ES_tradnl" w:eastAsia="es-ES_tradnl"/>
        </w:rPr>
      </w:pPr>
    </w:p>
    <w:p w:rsidR="00000000" w:rsidRDefault="00B620A9" w:rsidP="002A377B">
      <w:pPr>
        <w:pStyle w:val="Style1"/>
        <w:widowControl/>
        <w:jc w:val="both"/>
        <w:rPr>
          <w:rStyle w:val="FontStyle16"/>
          <w:lang w:val="es-ES_tradnl" w:eastAsia="es-ES_tradnl"/>
        </w:rPr>
      </w:pPr>
      <w:r>
        <w:rPr>
          <w:rStyle w:val="FontStyle16"/>
          <w:lang w:val="es-ES_tradnl" w:eastAsia="es-ES_tradnl"/>
        </w:rPr>
        <w:t>En las revisiones efectuadas permanentemente a la base de datos del Sistema de Información de Apoyo a la Gestión y</w:t>
      </w:r>
      <w:r>
        <w:rPr>
          <w:rStyle w:val="FontStyle16"/>
          <w:lang w:val="es-ES_tradnl" w:eastAsia="es-ES_tradnl"/>
        </w:rPr>
        <w:t xml:space="preserve"> Fiscalización de los Regímenes de Prestaciones Familiares y Subsidio Familiar (SIAGF), se ha detectado la existencia de entidades que no han actualizado dicha base como corresponde, esto es. no han actualizado los tramos de ingreso de cada beneficiario pa</w:t>
      </w:r>
      <w:r>
        <w:rPr>
          <w:rStyle w:val="FontStyle16"/>
          <w:lang w:val="es-ES_tradnl" w:eastAsia="es-ES_tradnl"/>
        </w:rPr>
        <w:t>ra el año 2011 por algunos de los reconocimientos de cargas familiares, como tampoco han realizado las extinciones de causantes que por algún motivo perdieron los requisitos para percibir la asignación familiar. Asimismo, se han detectado casos en que la e</w:t>
      </w:r>
      <w:r>
        <w:rPr>
          <w:rStyle w:val="FontStyle16"/>
          <w:lang w:val="es-ES_tradnl" w:eastAsia="es-ES_tradnl"/>
        </w:rPr>
        <w:t>ntidad ingresó al SIAGF causantes cuyos RUN o los de sus beneficiarios no son los electivos sino que se utilizó uno ficticio.</w:t>
      </w:r>
    </w:p>
    <w:p w:rsidR="002A377B" w:rsidRDefault="002A377B" w:rsidP="002A377B">
      <w:pPr>
        <w:pStyle w:val="Style1"/>
        <w:widowControl/>
        <w:jc w:val="both"/>
        <w:rPr>
          <w:rStyle w:val="FontStyle16"/>
          <w:lang w:val="es-ES_tradnl" w:eastAsia="es-ES_tradnl"/>
        </w:rPr>
      </w:pPr>
    </w:p>
    <w:p w:rsidR="00000000" w:rsidRDefault="00B620A9" w:rsidP="002A377B">
      <w:pPr>
        <w:pStyle w:val="Style1"/>
        <w:widowControl/>
        <w:jc w:val="both"/>
        <w:rPr>
          <w:rStyle w:val="FontStyle16"/>
          <w:lang w:val="es-ES_tradnl" w:eastAsia="es-ES_tradnl"/>
        </w:rPr>
      </w:pPr>
      <w:r>
        <w:rPr>
          <w:rStyle w:val="FontStyle16"/>
          <w:lang w:val="es-ES_tradnl" w:eastAsia="es-ES_tradnl"/>
        </w:rPr>
        <w:t>Atendido lo anterior, esta Superintendencia en uso de sus facultades legales que le confiere su Ley Orgánica y el D.F.L. N° 150. d</w:t>
      </w:r>
      <w:r>
        <w:rPr>
          <w:rStyle w:val="FontStyle16"/>
          <w:lang w:val="es-ES_tradnl" w:eastAsia="es-ES_tradnl"/>
        </w:rPr>
        <w:t>e 1981. del Ministerio del Trabajo y Previsión Social, ha estimado necesario instruir a las entidades administradoras del Sistema Unico de Prestaciones Familiares para que. a la brevedad, y a más tardar al 12 de junio de 2012. ingresen en el SIAGF los tram</w:t>
      </w:r>
      <w:r>
        <w:rPr>
          <w:rStyle w:val="FontStyle16"/>
          <w:lang w:val="es-ES_tradnl" w:eastAsia="es-ES_tradnl"/>
        </w:rPr>
        <w:t>os de ingreso para el año 2011 de aquellos reconocimientos que aún no registran dicha información. Así también, deberán eliminar a todos aquellos causantes que con posterioridad a su ingreso al SIAGF hayan dejado de ser causantes sin que ello haya sido inf</w:t>
      </w:r>
      <w:r>
        <w:rPr>
          <w:rStyle w:val="FontStyle16"/>
          <w:lang w:val="es-ES_tradnl" w:eastAsia="es-ES_tradnl"/>
        </w:rPr>
        <w:t>ormado al Sistema. En el mismo plazo, deberán reemplazar los RUN ficticios que pudiesen haber utilizado por los correctos.</w:t>
      </w:r>
    </w:p>
    <w:p w:rsidR="002A377B" w:rsidRDefault="002A377B" w:rsidP="002A377B">
      <w:pPr>
        <w:pStyle w:val="Style1"/>
        <w:widowControl/>
        <w:jc w:val="both"/>
        <w:rPr>
          <w:rStyle w:val="FontStyle16"/>
          <w:lang w:val="es-ES_tradnl" w:eastAsia="es-ES_tradnl"/>
        </w:rPr>
      </w:pPr>
    </w:p>
    <w:p w:rsidR="002A377B" w:rsidRDefault="002A377B" w:rsidP="002A377B">
      <w:pPr>
        <w:pStyle w:val="Style1"/>
        <w:widowControl/>
        <w:jc w:val="both"/>
        <w:rPr>
          <w:rStyle w:val="FontStyle16"/>
          <w:lang w:val="es-ES_tradnl" w:eastAsia="es-ES_tradnl"/>
        </w:rPr>
      </w:pPr>
    </w:p>
    <w:p w:rsidR="00000000" w:rsidRDefault="00B620A9">
      <w:pPr>
        <w:pStyle w:val="Style1"/>
        <w:widowControl/>
        <w:rPr>
          <w:rStyle w:val="FontStyle16"/>
          <w:lang w:val="es-ES_tradnl" w:eastAsia="es-ES_tradnl"/>
        </w:rPr>
      </w:pPr>
      <w:r>
        <w:rPr>
          <w:rStyle w:val="FontStyle16"/>
          <w:lang w:val="es-ES_tradnl" w:eastAsia="es-ES_tradnl"/>
        </w:rPr>
        <w:t>Saluda atentamente a Ud..</w:t>
      </w:r>
    </w:p>
    <w:p w:rsidR="002A377B" w:rsidRDefault="002A377B">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2A377B" w:rsidRDefault="002A377B">
      <w:pPr>
        <w:pStyle w:val="Style1"/>
        <w:widowControl/>
        <w:rPr>
          <w:rStyle w:val="FontStyle16"/>
          <w:lang w:val="es-ES_tradnl" w:eastAsia="es-ES_tradnl"/>
        </w:rPr>
      </w:pPr>
    </w:p>
    <w:p w:rsidR="002A377B" w:rsidRDefault="00C105B1" w:rsidP="002A377B">
      <w:pPr>
        <w:pStyle w:val="Style1"/>
        <w:widowControl/>
        <w:ind w:left="-709"/>
        <w:rPr>
          <w:rStyle w:val="FontStyle16"/>
          <w:lang w:val="es-ES_tradnl" w:eastAsia="es-ES_tradnl"/>
        </w:rPr>
      </w:pPr>
      <w:r>
        <w:rPr>
          <w:noProof/>
          <w:sz w:val="22"/>
          <w:szCs w:val="22"/>
        </w:rPr>
        <w:drawing>
          <wp:inline distT="0" distB="0" distL="0" distR="0">
            <wp:extent cx="5934710" cy="1621790"/>
            <wp:effectExtent l="1905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934710" cy="1621790"/>
                    </a:xfrm>
                    <a:prstGeom prst="rect">
                      <a:avLst/>
                    </a:prstGeom>
                    <a:noFill/>
                    <a:ln w="9525">
                      <a:noFill/>
                      <a:miter lim="800000"/>
                      <a:headEnd/>
                      <a:tailEnd/>
                    </a:ln>
                  </pic:spPr>
                </pic:pic>
              </a:graphicData>
            </a:graphic>
          </wp:inline>
        </w:drawing>
      </w:r>
    </w:p>
    <w:p w:rsidR="002A377B" w:rsidRDefault="002A377B" w:rsidP="002A377B">
      <w:pPr>
        <w:pStyle w:val="Style9"/>
        <w:widowControl/>
        <w:rPr>
          <w:rStyle w:val="FontStyle16"/>
          <w:lang w:val="es-ES_tradnl" w:eastAsia="es-ES_tradnl"/>
        </w:rPr>
      </w:pPr>
      <w:r>
        <w:rPr>
          <w:rStyle w:val="FontStyle16"/>
          <w:lang w:val="es-ES_tradnl" w:eastAsia="es-ES_tradnl"/>
        </w:rPr>
        <w:t>- Instituto de Previsión Social</w:t>
      </w:r>
    </w:p>
    <w:p w:rsidR="002A377B" w:rsidRDefault="002A377B" w:rsidP="002A377B">
      <w:pPr>
        <w:pStyle w:val="Style9"/>
        <w:widowControl/>
        <w:rPr>
          <w:rStyle w:val="FontStyle16"/>
          <w:lang w:val="es-ES_tradnl" w:eastAsia="es-ES_tradnl"/>
        </w:rPr>
      </w:pPr>
      <w:r>
        <w:rPr>
          <w:rStyle w:val="FontStyle16"/>
          <w:lang w:val="es-ES_tradnl" w:eastAsia="es-ES_tradnl"/>
        </w:rPr>
        <w:t>- Cajas de Compensación de Asignación Familiar</w:t>
      </w:r>
    </w:p>
    <w:p w:rsidR="002A377B" w:rsidRDefault="002A377B" w:rsidP="002A377B">
      <w:pPr>
        <w:pStyle w:val="Style9"/>
        <w:widowControl/>
        <w:rPr>
          <w:rStyle w:val="FontStyle16"/>
          <w:lang w:val="es-ES_tradnl" w:eastAsia="es-ES_tradnl"/>
        </w:rPr>
      </w:pPr>
      <w:r>
        <w:rPr>
          <w:rStyle w:val="FontStyle16"/>
          <w:lang w:val="es-ES_tradnl" w:eastAsia="es-ES_tradnl"/>
        </w:rPr>
        <w:t>- Dirección de Previsión de Carabineros de Chile</w:t>
      </w:r>
    </w:p>
    <w:p w:rsidR="002A377B" w:rsidRDefault="002A377B" w:rsidP="002A377B">
      <w:pPr>
        <w:pStyle w:val="Style9"/>
        <w:widowControl/>
        <w:rPr>
          <w:rStyle w:val="FontStyle16"/>
          <w:lang w:val="es-ES_tradnl" w:eastAsia="es-ES_tradnl"/>
        </w:rPr>
      </w:pPr>
      <w:r>
        <w:rPr>
          <w:rStyle w:val="FontStyle16"/>
          <w:lang w:val="es-ES_tradnl" w:eastAsia="es-ES_tradnl"/>
        </w:rPr>
        <w:t>- Caja de Previsión de la Defensa Nacional</w:t>
      </w:r>
    </w:p>
    <w:p w:rsidR="002A377B" w:rsidRDefault="002A377B" w:rsidP="002A377B">
      <w:pPr>
        <w:pStyle w:val="Style9"/>
        <w:widowControl/>
        <w:rPr>
          <w:rStyle w:val="FontStyle16"/>
          <w:lang w:val="es-ES_tradnl" w:eastAsia="es-ES_tradnl"/>
        </w:rPr>
      </w:pPr>
      <w:r>
        <w:rPr>
          <w:rStyle w:val="FontStyle16"/>
          <w:lang w:val="es-ES_tradnl" w:eastAsia="es-ES_tradnl"/>
        </w:rPr>
        <w:t>- Administradoras de Fondos de Pensiones</w:t>
      </w:r>
    </w:p>
    <w:p w:rsidR="002A377B" w:rsidRDefault="002A377B" w:rsidP="002A377B">
      <w:pPr>
        <w:pStyle w:val="Style9"/>
        <w:widowControl/>
        <w:rPr>
          <w:rStyle w:val="FontStyle16"/>
          <w:lang w:val="es-ES_tradnl" w:eastAsia="es-ES_tradnl"/>
        </w:rPr>
      </w:pPr>
      <w:r>
        <w:rPr>
          <w:rStyle w:val="FontStyle16"/>
          <w:lang w:val="es-ES_tradnl" w:eastAsia="es-ES_tradnl"/>
        </w:rPr>
        <w:t>- Compañías de Seguros de Vida</w:t>
      </w:r>
    </w:p>
    <w:p w:rsidR="002A377B" w:rsidRDefault="002A377B" w:rsidP="002A377B">
      <w:pPr>
        <w:pStyle w:val="Style9"/>
        <w:widowControl/>
        <w:rPr>
          <w:rStyle w:val="FontStyle16"/>
          <w:lang w:val="es-ES_tradnl" w:eastAsia="es-ES_tradnl"/>
        </w:rPr>
      </w:pPr>
      <w:r>
        <w:rPr>
          <w:rStyle w:val="FontStyle16"/>
          <w:lang w:val="es-ES_tradnl" w:eastAsia="es-ES_tradnl"/>
        </w:rPr>
        <w:t>- Mutualidades de la Ley N° 16.744</w:t>
      </w:r>
    </w:p>
    <w:p w:rsidR="002A377B" w:rsidRDefault="002A377B" w:rsidP="002A377B">
      <w:pPr>
        <w:pStyle w:val="Style9"/>
        <w:widowControl/>
        <w:rPr>
          <w:rStyle w:val="FontStyle16"/>
          <w:lang w:val="es-ES_tradnl" w:eastAsia="es-ES_tradnl"/>
        </w:rPr>
      </w:pPr>
      <w:r>
        <w:rPr>
          <w:rStyle w:val="FontStyle16"/>
          <w:lang w:val="es-ES_tradnl" w:eastAsia="es-ES_tradnl"/>
        </w:rPr>
        <w:t>- Servicios Públicos Centralizados y Descentralizados</w:t>
      </w:r>
    </w:p>
    <w:p w:rsidR="002A377B" w:rsidRDefault="002A377B" w:rsidP="002A377B">
      <w:pPr>
        <w:pStyle w:val="Style9"/>
        <w:widowControl/>
        <w:rPr>
          <w:rStyle w:val="FontStyle16"/>
          <w:lang w:val="es-ES_tradnl" w:eastAsia="es-ES_tradnl"/>
        </w:rPr>
      </w:pPr>
      <w:r>
        <w:rPr>
          <w:rStyle w:val="FontStyle16"/>
          <w:lang w:val="es-ES_tradnl" w:eastAsia="es-ES_tradnl"/>
        </w:rPr>
        <w:t>- Sociedad Administradora de Fondo de Cesantía</w:t>
      </w:r>
    </w:p>
    <w:p w:rsidR="002A377B" w:rsidRDefault="002A377B" w:rsidP="002A377B">
      <w:pPr>
        <w:pStyle w:val="Style9"/>
        <w:widowControl/>
        <w:rPr>
          <w:rStyle w:val="FontStyle16"/>
          <w:lang w:val="es-ES_tradnl" w:eastAsia="es-ES_tradnl"/>
        </w:rPr>
      </w:pPr>
      <w:r>
        <w:rPr>
          <w:rStyle w:val="FontStyle16"/>
          <w:lang w:val="es-ES_tradnl" w:eastAsia="es-ES_tradnl"/>
        </w:rPr>
        <w:t>- Instituto de Seguridad Laboral</w:t>
      </w:r>
    </w:p>
    <w:p w:rsidR="002A377B" w:rsidRDefault="002A377B" w:rsidP="002A377B">
      <w:pPr>
        <w:pStyle w:val="Style9"/>
        <w:widowControl/>
        <w:rPr>
          <w:rStyle w:val="FontStyle16"/>
          <w:lang w:val="es-ES_tradnl" w:eastAsia="es-ES_tradnl"/>
        </w:rPr>
      </w:pPr>
      <w:r>
        <w:rPr>
          <w:rStyle w:val="FontStyle16"/>
          <w:lang w:val="es-ES_tradnl" w:eastAsia="es-ES_tradnl"/>
        </w:rPr>
        <w:t>- Municipalidades</w:t>
      </w:r>
    </w:p>
    <w:p w:rsidR="00C105B1" w:rsidRDefault="00C105B1">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C105B1" w:rsidRDefault="00C105B1">
      <w:pPr>
        <w:pStyle w:val="Style1"/>
        <w:widowControl/>
        <w:rPr>
          <w:rStyle w:val="FontStyle16"/>
          <w:lang w:val="es-ES_tradnl" w:eastAsia="es-ES_tradnl"/>
        </w:rPr>
      </w:pPr>
    </w:p>
    <w:p w:rsidR="002A377B" w:rsidRDefault="00B620A9" w:rsidP="00C105B1">
      <w:pPr>
        <w:pStyle w:val="Style1"/>
        <w:widowControl/>
        <w:jc w:val="center"/>
        <w:rPr>
          <w:rStyle w:val="FontStyle16"/>
          <w:lang w:val="es-ES_tradnl" w:eastAsia="es-ES_tradnl"/>
        </w:rPr>
      </w:pPr>
      <w:r>
        <w:rPr>
          <w:rStyle w:val="FontStyle16"/>
          <w:lang w:val="es-ES_tradnl" w:eastAsia="es-ES_tradnl"/>
        </w:rPr>
        <w:t>2</w:t>
      </w:r>
    </w:p>
    <w:sectPr w:rsidR="002A377B" w:rsidSect="002A377B">
      <w:type w:val="continuous"/>
      <w:pgSz w:w="12240" w:h="20160" w:code="5"/>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0A9" w:rsidRDefault="00B620A9">
      <w:r>
        <w:separator/>
      </w:r>
    </w:p>
  </w:endnote>
  <w:endnote w:type="continuationSeparator" w:id="0">
    <w:p w:rsidR="00B620A9" w:rsidRDefault="00B62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0A9" w:rsidRDefault="00B620A9">
      <w:r>
        <w:separator/>
      </w:r>
    </w:p>
  </w:footnote>
  <w:footnote w:type="continuationSeparator" w:id="0">
    <w:p w:rsidR="00B620A9" w:rsidRDefault="00B620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FE23B0"/>
    <w:rsid w:val="002A377B"/>
    <w:rsid w:val="00B620A9"/>
    <w:rsid w:val="00C105B1"/>
    <w:rsid w:val="00FE23B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style>
  <w:style w:type="character" w:customStyle="1" w:styleId="FontStyle12">
    <w:name w:val="Font Style12"/>
    <w:basedOn w:val="Fuentedeprrafopredeter"/>
    <w:uiPriority w:val="99"/>
    <w:rPr>
      <w:rFonts w:ascii="Times New Roman" w:hAnsi="Times New Roman" w:cs="Times New Roman"/>
      <w:b/>
      <w:bCs/>
      <w:i/>
      <w:iCs/>
      <w:spacing w:val="-30"/>
      <w:sz w:val="34"/>
      <w:szCs w:val="34"/>
    </w:rPr>
  </w:style>
  <w:style w:type="character" w:customStyle="1" w:styleId="FontStyle13">
    <w:name w:val="Font Style13"/>
    <w:basedOn w:val="Fuentedeprrafopredeter"/>
    <w:uiPriority w:val="99"/>
    <w:rPr>
      <w:rFonts w:ascii="Times New Roman" w:hAnsi="Times New Roman" w:cs="Times New Roman"/>
      <w:sz w:val="16"/>
      <w:szCs w:val="16"/>
    </w:rPr>
  </w:style>
  <w:style w:type="character" w:customStyle="1" w:styleId="FontStyle14">
    <w:name w:val="Font Style14"/>
    <w:basedOn w:val="Fuentedeprrafopredeter"/>
    <w:uiPriority w:val="99"/>
    <w:rPr>
      <w:rFonts w:ascii="Times New Roman" w:hAnsi="Times New Roman" w:cs="Times New Roman"/>
      <w:b/>
      <w:bCs/>
      <w:spacing w:val="10"/>
      <w:sz w:val="20"/>
      <w:szCs w:val="20"/>
    </w:rPr>
  </w:style>
  <w:style w:type="character" w:customStyle="1" w:styleId="FontStyle15">
    <w:name w:val="Font Style15"/>
    <w:basedOn w:val="Fuentedeprrafopredeter"/>
    <w:uiPriority w:val="99"/>
    <w:rPr>
      <w:rFonts w:ascii="Times New Roman" w:hAnsi="Times New Roman" w:cs="Times New Roman"/>
      <w:b/>
      <w:bCs/>
      <w:spacing w:val="20"/>
      <w:sz w:val="28"/>
      <w:szCs w:val="28"/>
    </w:rPr>
  </w:style>
  <w:style w:type="character" w:customStyle="1" w:styleId="FontStyle16">
    <w:name w:val="Font Style16"/>
    <w:basedOn w:val="Fuentedeprrafopredeter"/>
    <w:uiPriority w:val="99"/>
    <w:rPr>
      <w:rFonts w:ascii="Times New Roman" w:hAnsi="Times New Roman" w:cs="Times New Roman"/>
      <w:sz w:val="22"/>
      <w:szCs w:val="22"/>
    </w:rPr>
  </w:style>
  <w:style w:type="character" w:customStyle="1" w:styleId="FontStyle17">
    <w:name w:val="Font Style17"/>
    <w:basedOn w:val="Fuentedeprrafopredeter"/>
    <w:uiPriority w:val="99"/>
    <w:rPr>
      <w:rFonts w:ascii="Times New Roman" w:hAnsi="Times New Roman" w:cs="Times New Roman"/>
      <w:b/>
      <w:bCs/>
      <w:sz w:val="16"/>
      <w:szCs w:val="16"/>
    </w:rPr>
  </w:style>
  <w:style w:type="character" w:customStyle="1" w:styleId="FontStyle18">
    <w:name w:val="Font Style18"/>
    <w:basedOn w:val="Fuentedeprrafopredeter"/>
    <w:uiPriority w:val="99"/>
    <w:rPr>
      <w:rFonts w:ascii="Franklin Gothic Demi" w:hAnsi="Franklin Gothic Demi" w:cs="Franklin Gothic Demi"/>
      <w:b/>
      <w:bCs/>
      <w:sz w:val="22"/>
      <w:szCs w:val="22"/>
    </w:rPr>
  </w:style>
  <w:style w:type="character" w:styleId="Hipervnculo">
    <w:name w:val="Hyperlink"/>
    <w:basedOn w:val="Fuentedeprrafopredeter"/>
    <w:uiPriority w:val="99"/>
    <w:rPr>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335</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Scanned Document</vt:lpstr>
    </vt:vector>
  </TitlesOfParts>
  <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LAlcaino</dc:creator>
  <cp:keywords/>
  <dc:description/>
  <cp:lastModifiedBy>LAlcaino</cp:lastModifiedBy>
  <cp:revision>1</cp:revision>
  <dcterms:created xsi:type="dcterms:W3CDTF">2012-06-01T15:33:00Z</dcterms:created>
  <dcterms:modified xsi:type="dcterms:W3CDTF">2012-06-01T15:44:00Z</dcterms:modified>
</cp:coreProperties>
</file>