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4B17A1C6" w14:textId="77777777" w:rsidR="00B7304A" w:rsidRDefault="00B7304A" w:rsidP="00B7304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FORMATO PARA FORMULAR OBSERVACIONES O COMENTARIOS AL PROYECTO DE CIRCULAR</w:t>
            </w:r>
          </w:p>
          <w:p w14:paraId="64A6053E" w14:textId="77777777" w:rsidR="00B7304A" w:rsidRDefault="00B7304A" w:rsidP="00B7304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023FB5B" w14:textId="3515A18B" w:rsidR="00B7304A" w:rsidRDefault="00B7304A" w:rsidP="00B7304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REQUISITOS DE ACCESO Y CÁLCULO DE SUBSIDIOS POR INCAPACIDAD LABORAL DE ORIGEN COMÚN Y MATERNAL DE TRABAJADORES INDEPENDIENTES</w:t>
            </w:r>
            <w:r w:rsidR="001129CB">
              <w:rPr>
                <w:b/>
                <w:bCs/>
                <w:sz w:val="32"/>
                <w:szCs w:val="32"/>
              </w:rPr>
              <w:t xml:space="preserve">. </w:t>
            </w:r>
            <w:r>
              <w:rPr>
                <w:b/>
                <w:bCs/>
                <w:sz w:val="32"/>
                <w:szCs w:val="32"/>
              </w:rPr>
              <w:t>INSTRUCCIONES APLICABLES A CASOS DE DOBLE CALIDAD DE LOS TRABAJADORES INDEPENDIENTES</w:t>
            </w:r>
            <w:r w:rsidR="001129CB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REFUNDE Y COMPLEMENTA INSTRUCCIONES Y DEROGA CIRCULARES QUE INDICA</w:t>
            </w:r>
            <w:r w:rsidR="001129CB">
              <w:rPr>
                <w:b/>
                <w:bCs/>
                <w:sz w:val="32"/>
                <w:szCs w:val="32"/>
              </w:rPr>
              <w:t>.</w:t>
            </w:r>
          </w:p>
          <w:p w14:paraId="69BF4747" w14:textId="54A71210" w:rsidR="001854AB" w:rsidRPr="001854AB" w:rsidRDefault="001854AB" w:rsidP="00B7304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1129CB"/>
    <w:rsid w:val="001854AB"/>
    <w:rsid w:val="00655DBF"/>
    <w:rsid w:val="00693F1B"/>
    <w:rsid w:val="0076578F"/>
    <w:rsid w:val="0090276D"/>
    <w:rsid w:val="00A90367"/>
    <w:rsid w:val="00AE7343"/>
    <w:rsid w:val="00B7304A"/>
    <w:rsid w:val="00D960DC"/>
    <w:rsid w:val="00E73406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Luz Emilia Montalva García</cp:lastModifiedBy>
  <cp:revision>3</cp:revision>
  <dcterms:created xsi:type="dcterms:W3CDTF">2021-06-05T00:49:00Z</dcterms:created>
  <dcterms:modified xsi:type="dcterms:W3CDTF">2021-06-05T00:50:00Z</dcterms:modified>
</cp:coreProperties>
</file>