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E4B2E" w14:textId="77777777" w:rsidR="005E0542" w:rsidRDefault="005E0542" w:rsidP="00CA1ED7">
      <w:pPr>
        <w:jc w:val="center"/>
        <w:rPr>
          <w:b/>
          <w:sz w:val="28"/>
          <w:szCs w:val="28"/>
        </w:rPr>
      </w:pPr>
    </w:p>
    <w:p w14:paraId="13F4ADEE" w14:textId="00AD0E68" w:rsidR="00DD2BCD" w:rsidRDefault="00CA1ED7" w:rsidP="00CA1ED7">
      <w:pPr>
        <w:jc w:val="center"/>
        <w:rPr>
          <w:b/>
          <w:sz w:val="28"/>
          <w:szCs w:val="28"/>
        </w:rPr>
      </w:pPr>
      <w:r w:rsidRPr="009B7978">
        <w:rPr>
          <w:b/>
          <w:sz w:val="28"/>
          <w:szCs w:val="28"/>
        </w:rPr>
        <w:t>MINUTA</w:t>
      </w:r>
    </w:p>
    <w:p w14:paraId="0DE38A27" w14:textId="5B13E838" w:rsidR="0038763C" w:rsidRDefault="00CA1ED7" w:rsidP="0038763C">
      <w:pPr>
        <w:jc w:val="center"/>
        <w:rPr>
          <w:b/>
          <w:sz w:val="24"/>
          <w:szCs w:val="24"/>
        </w:rPr>
      </w:pPr>
      <w:r w:rsidRPr="002F6DD6">
        <w:rPr>
          <w:b/>
          <w:sz w:val="24"/>
          <w:szCs w:val="24"/>
        </w:rPr>
        <w:t>PROYECTO DE CIRCULAR QUE MODIFICA</w:t>
      </w:r>
      <w:r w:rsidR="0038763C" w:rsidRPr="002F6DD6">
        <w:rPr>
          <w:b/>
          <w:sz w:val="24"/>
          <w:szCs w:val="24"/>
        </w:rPr>
        <w:t xml:space="preserve"> EL</w:t>
      </w:r>
      <w:r w:rsidRPr="002F6DD6">
        <w:rPr>
          <w:b/>
          <w:sz w:val="24"/>
          <w:szCs w:val="24"/>
        </w:rPr>
        <w:t xml:space="preserve"> </w:t>
      </w:r>
      <w:r w:rsidR="0038763C" w:rsidRPr="002F6DD6">
        <w:rPr>
          <w:b/>
          <w:sz w:val="24"/>
          <w:szCs w:val="24"/>
        </w:rPr>
        <w:t xml:space="preserve">FORMATO ÚNICO DE PRESENTACIÓN DE LOS ESTADOS FINANCIEROS DE LAS MUTUALIDADES DE EMPLEADORES </w:t>
      </w:r>
      <w:r w:rsidR="002F6DD6" w:rsidRPr="002F6DD6">
        <w:rPr>
          <w:b/>
          <w:sz w:val="24"/>
          <w:szCs w:val="24"/>
        </w:rPr>
        <w:t>DE LA LEY N°16.744</w:t>
      </w:r>
      <w:r w:rsidR="00E02AA1">
        <w:rPr>
          <w:b/>
          <w:sz w:val="24"/>
          <w:szCs w:val="24"/>
        </w:rPr>
        <w:t xml:space="preserve"> </w:t>
      </w:r>
      <w:r w:rsidR="00E02AA1" w:rsidRPr="002F6DD6">
        <w:rPr>
          <w:b/>
          <w:sz w:val="24"/>
          <w:szCs w:val="24"/>
        </w:rPr>
        <w:t>(FUPEF-IFRS)</w:t>
      </w:r>
      <w:r w:rsidR="00E02AA1">
        <w:rPr>
          <w:b/>
          <w:sz w:val="24"/>
          <w:szCs w:val="24"/>
        </w:rPr>
        <w:t xml:space="preserve"> </w:t>
      </w:r>
      <w:r w:rsidR="00E02AA1" w:rsidRPr="00E02AA1">
        <w:rPr>
          <w:b/>
          <w:sz w:val="24"/>
          <w:szCs w:val="24"/>
        </w:rPr>
        <w:t xml:space="preserve">Y </w:t>
      </w:r>
      <w:r w:rsidR="00E02AA1">
        <w:rPr>
          <w:b/>
          <w:sz w:val="24"/>
          <w:szCs w:val="24"/>
        </w:rPr>
        <w:t xml:space="preserve">LOS </w:t>
      </w:r>
      <w:r w:rsidR="00E02AA1" w:rsidRPr="00E02AA1">
        <w:rPr>
          <w:b/>
          <w:sz w:val="24"/>
          <w:szCs w:val="24"/>
        </w:rPr>
        <w:t xml:space="preserve">REPORTES FINANCIEROS DEL INSTITUTO DE SEGURIDAD LABORAL. </w:t>
      </w:r>
    </w:p>
    <w:p w14:paraId="665BD67E" w14:textId="77777777" w:rsidR="005E0542" w:rsidRDefault="005E0542" w:rsidP="005E0542">
      <w:pPr>
        <w:spacing w:before="240"/>
        <w:jc w:val="both"/>
        <w:rPr>
          <w:rFonts w:cstheme="minorHAnsi"/>
        </w:rPr>
      </w:pPr>
    </w:p>
    <w:p w14:paraId="25AE53E1" w14:textId="4D2A2F0D" w:rsidR="005E0542" w:rsidRPr="005E0542" w:rsidRDefault="005E0542" w:rsidP="005E0542">
      <w:pPr>
        <w:spacing w:before="240"/>
        <w:jc w:val="both"/>
        <w:rPr>
          <w:rFonts w:cstheme="minorHAnsi"/>
        </w:rPr>
      </w:pPr>
      <w:r w:rsidRPr="005E0542">
        <w:rPr>
          <w:rFonts w:cstheme="minorHAnsi"/>
        </w:rPr>
        <w:t>E</w:t>
      </w:r>
      <w:r w:rsidRPr="005E0542">
        <w:rPr>
          <w:rFonts w:cstheme="minorHAnsi"/>
        </w:rPr>
        <w:t>ste proyecto de circular modifica</w:t>
      </w:r>
      <w:r w:rsidRPr="005E0542">
        <w:rPr>
          <w:rFonts w:cstheme="minorHAnsi"/>
        </w:rPr>
        <w:t xml:space="preserve"> el Título II. Fondos Patrimoniales, el Título III. Inversiones Financieras y el Título IV. Información Financiera</w:t>
      </w:r>
      <w:r w:rsidRPr="005E0542">
        <w:rPr>
          <w:rFonts w:cstheme="minorHAnsi"/>
        </w:rPr>
        <w:t>, del Libro VIII. ASPECTO FINANCIERO CONTABLES, del Compendio de Normas del Seguro de la Ley N°16.744</w:t>
      </w:r>
      <w:r w:rsidRPr="005E0542">
        <w:rPr>
          <w:rFonts w:cstheme="minorHAnsi"/>
        </w:rPr>
        <w:t>.</w:t>
      </w:r>
    </w:p>
    <w:p w14:paraId="0CDC5B4E" w14:textId="49D57D2F" w:rsidR="00EF3C68" w:rsidRPr="005E0542" w:rsidRDefault="00CA1ED7" w:rsidP="00FF23E7">
      <w:pPr>
        <w:spacing w:before="240"/>
        <w:jc w:val="both"/>
      </w:pPr>
      <w:r w:rsidRPr="005E0542">
        <w:t>L</w:t>
      </w:r>
      <w:r w:rsidR="00156B6A" w:rsidRPr="005E0542">
        <w:t>a</w:t>
      </w:r>
      <w:r w:rsidRPr="005E0542">
        <w:t xml:space="preserve">s </w:t>
      </w:r>
      <w:r w:rsidR="00156B6A" w:rsidRPr="005E0542">
        <w:t xml:space="preserve">necesidades de información del mercado, así como los requerimientos de transparencia en </w:t>
      </w:r>
      <w:r w:rsidR="00557442" w:rsidRPr="005E0542">
        <w:t>los registros que refleja</w:t>
      </w:r>
      <w:r w:rsidR="00846CF8" w:rsidRPr="005E0542">
        <w:t>n la</w:t>
      </w:r>
      <w:r w:rsidR="00156B6A" w:rsidRPr="005E0542">
        <w:t xml:space="preserve"> situación económica-financiera de las Mutualidades</w:t>
      </w:r>
      <w:r w:rsidR="003B2196" w:rsidRPr="005E0542">
        <w:t xml:space="preserve"> y</w:t>
      </w:r>
      <w:r w:rsidR="003278FF" w:rsidRPr="005E0542">
        <w:t xml:space="preserve"> del Instituto de Seguridad Laboral</w:t>
      </w:r>
      <w:r w:rsidR="00EF3C68" w:rsidRPr="005E0542">
        <w:t>,</w:t>
      </w:r>
      <w:r w:rsidR="00156B6A" w:rsidRPr="005E0542">
        <w:t xml:space="preserve"> conllevan la </w:t>
      </w:r>
      <w:r w:rsidR="00FF23E7" w:rsidRPr="005E0542">
        <w:t>actualización</w:t>
      </w:r>
      <w:r w:rsidR="00237BCC" w:rsidRPr="005E0542">
        <w:t xml:space="preserve"> constante</w:t>
      </w:r>
      <w:r w:rsidR="00FF23E7" w:rsidRPr="005E0542">
        <w:t xml:space="preserve"> de los </w:t>
      </w:r>
      <w:r w:rsidR="0038763C" w:rsidRPr="005E0542">
        <w:t xml:space="preserve">Estados Financieros </w:t>
      </w:r>
      <w:r w:rsidR="00072FD5" w:rsidRPr="005E0542">
        <w:t>y de los informes presentados y reportados</w:t>
      </w:r>
      <w:r w:rsidR="00EF3C68" w:rsidRPr="005E0542">
        <w:t xml:space="preserve"> en la materia</w:t>
      </w:r>
      <w:r w:rsidR="003278FF" w:rsidRPr="005E0542">
        <w:t xml:space="preserve"> </w:t>
      </w:r>
      <w:r w:rsidR="00072FD5" w:rsidRPr="005E0542">
        <w:t>a</w:t>
      </w:r>
      <w:r w:rsidR="003B2196" w:rsidRPr="005E0542">
        <w:t>nte</w:t>
      </w:r>
      <w:r w:rsidR="00072FD5" w:rsidRPr="005E0542">
        <w:t xml:space="preserve"> esta Superintendencia</w:t>
      </w:r>
      <w:r w:rsidR="00EF3C68" w:rsidRPr="005E0542">
        <w:t>.</w:t>
      </w:r>
    </w:p>
    <w:p w14:paraId="7524E622" w14:textId="08610B37" w:rsidR="000734D9" w:rsidRPr="005E0542" w:rsidRDefault="005407DB" w:rsidP="00FF23E7">
      <w:pPr>
        <w:spacing w:before="240"/>
        <w:jc w:val="both"/>
      </w:pPr>
      <w:r w:rsidRPr="005E0542">
        <w:t>Al respecto, las principales modificaciones a</w:t>
      </w:r>
      <w:r w:rsidR="00544323" w:rsidRPr="005E0542">
        <w:t>l Título II.</w:t>
      </w:r>
      <w:r w:rsidR="00697659" w:rsidRPr="005E0542">
        <w:t xml:space="preserve"> Fondos Patrimoniales</w:t>
      </w:r>
      <w:r w:rsidR="003B2196" w:rsidRPr="005E0542">
        <w:t>,</w:t>
      </w:r>
      <w:r w:rsidR="003F5CF9" w:rsidRPr="005E0542">
        <w:t xml:space="preserve"> </w:t>
      </w:r>
      <w:r w:rsidRPr="005E0542">
        <w:t xml:space="preserve">dicen relación </w:t>
      </w:r>
      <w:r w:rsidR="004464DE" w:rsidRPr="005E0542">
        <w:t>con</w:t>
      </w:r>
      <w:r w:rsidR="003278FF" w:rsidRPr="005E0542">
        <w:t xml:space="preserve"> </w:t>
      </w:r>
      <w:r w:rsidR="004464DE" w:rsidRPr="005E0542">
        <w:t>la extinción</w:t>
      </w:r>
      <w:r w:rsidR="003F5CF9" w:rsidRPr="005E0542">
        <w:t xml:space="preserve"> el 31 de diciembre de 2019 </w:t>
      </w:r>
      <w:r w:rsidR="004464DE" w:rsidRPr="005E0542">
        <w:t xml:space="preserve">de la </w:t>
      </w:r>
      <w:r w:rsidR="00240241" w:rsidRPr="005E0542">
        <w:t>C</w:t>
      </w:r>
      <w:r w:rsidR="004464DE" w:rsidRPr="005E0542">
        <w:t>otización extraordinaria</w:t>
      </w:r>
      <w:r w:rsidR="003F5CF9" w:rsidRPr="005E0542">
        <w:t xml:space="preserve">, </w:t>
      </w:r>
      <w:r w:rsidR="00194731" w:rsidRPr="005E0542">
        <w:t xml:space="preserve">según lo </w:t>
      </w:r>
      <w:r w:rsidR="004464DE" w:rsidRPr="005E0542">
        <w:t>establecid</w:t>
      </w:r>
      <w:r w:rsidR="00194731" w:rsidRPr="005E0542">
        <w:t>o</w:t>
      </w:r>
      <w:r w:rsidR="004464DE" w:rsidRPr="005E0542">
        <w:t xml:space="preserve"> en el artículo sexto transitorio de la Ley N°19.578</w:t>
      </w:r>
      <w:r w:rsidR="003278FF" w:rsidRPr="005E0542">
        <w:t>,</w:t>
      </w:r>
      <w:r w:rsidR="000734D9" w:rsidRPr="005E0542">
        <w:t xml:space="preserve"> y con</w:t>
      </w:r>
      <w:r w:rsidR="00AA6AAD" w:rsidRPr="005E0542">
        <w:t xml:space="preserve"> </w:t>
      </w:r>
      <w:r w:rsidR="000734D9" w:rsidRPr="005E0542">
        <w:t>la eliminación del Fondo de Reserva de Pensiones Adicional</w:t>
      </w:r>
      <w:r w:rsidR="00AA6AAD" w:rsidRPr="005E0542">
        <w:t>, por no presentar saldos</w:t>
      </w:r>
      <w:r w:rsidR="003F5CF9" w:rsidRPr="005E0542">
        <w:t>.</w:t>
      </w:r>
    </w:p>
    <w:p w14:paraId="0FD2AAD0" w14:textId="15F94C56" w:rsidR="00D13FAD" w:rsidRPr="005E0542" w:rsidRDefault="003A13E4" w:rsidP="00FF23E7">
      <w:pPr>
        <w:spacing w:before="240"/>
        <w:jc w:val="both"/>
      </w:pPr>
      <w:r w:rsidRPr="005E0542">
        <w:t>L</w:t>
      </w:r>
      <w:r w:rsidR="00194731" w:rsidRPr="005E0542">
        <w:t xml:space="preserve">os </w:t>
      </w:r>
      <w:r w:rsidR="000734D9" w:rsidRPr="005E0542">
        <w:t>cambio</w:t>
      </w:r>
      <w:r w:rsidR="00194731" w:rsidRPr="005E0542">
        <w:t>s</w:t>
      </w:r>
      <w:r w:rsidR="000734D9" w:rsidRPr="005E0542">
        <w:t xml:space="preserve"> efectuado</w:t>
      </w:r>
      <w:r w:rsidR="00544323" w:rsidRPr="005E0542">
        <w:t xml:space="preserve">s al Título III. </w:t>
      </w:r>
      <w:r w:rsidR="000734D9" w:rsidRPr="005E0542">
        <w:t>Inversiones Financieras</w:t>
      </w:r>
      <w:r w:rsidR="003B2196" w:rsidRPr="005E0542">
        <w:t>,</w:t>
      </w:r>
      <w:r w:rsidR="000734D9" w:rsidRPr="005E0542">
        <w:t xml:space="preserve"> </w:t>
      </w:r>
      <w:r w:rsidR="00544323" w:rsidRPr="005E0542">
        <w:t>se relacionan con,</w:t>
      </w:r>
      <w:r w:rsidR="00F662AE" w:rsidRPr="005E0542">
        <w:t xml:space="preserve"> i)</w:t>
      </w:r>
      <w:r w:rsidR="00544323" w:rsidRPr="005E0542">
        <w:t xml:space="preserve"> la actualización a las referencias de la anterior “Superintendencia de Valores y Seguros” por la actual “Comisión para el Mercado Financiero”,</w:t>
      </w:r>
      <w:r w:rsidR="00F662AE" w:rsidRPr="005E0542">
        <w:t xml:space="preserve"> </w:t>
      </w:r>
      <w:proofErr w:type="spellStart"/>
      <w:r w:rsidR="00F662AE" w:rsidRPr="005E0542">
        <w:t>ii</w:t>
      </w:r>
      <w:proofErr w:type="spellEnd"/>
      <w:r w:rsidR="00F662AE" w:rsidRPr="005E0542">
        <w:t xml:space="preserve">) la instrucción de hacer llegar mensualmente a esta Superintendencia los certificados </w:t>
      </w:r>
      <w:r w:rsidR="003278FF" w:rsidRPr="005E0542">
        <w:t xml:space="preserve">de </w:t>
      </w:r>
      <w:r w:rsidR="00F662AE" w:rsidRPr="005E0542">
        <w:t xml:space="preserve">tenencia y custodia de cada uno de los instrumentos financieros que componen el </w:t>
      </w:r>
      <w:r w:rsidR="00661999" w:rsidRPr="005E0542">
        <w:t>F</w:t>
      </w:r>
      <w:r w:rsidR="00F662AE" w:rsidRPr="005E0542">
        <w:t xml:space="preserve">ondo de </w:t>
      </w:r>
      <w:r w:rsidR="00661999" w:rsidRPr="005E0542">
        <w:t>L</w:t>
      </w:r>
      <w:r w:rsidR="00F662AE" w:rsidRPr="005E0542">
        <w:t xml:space="preserve">ibre </w:t>
      </w:r>
      <w:r w:rsidR="00661999" w:rsidRPr="005E0542">
        <w:t>D</w:t>
      </w:r>
      <w:r w:rsidR="00F662AE" w:rsidRPr="005E0542">
        <w:t>isposición</w:t>
      </w:r>
      <w:r w:rsidR="003278FF" w:rsidRPr="005E0542">
        <w:t xml:space="preserve">, </w:t>
      </w:r>
      <w:proofErr w:type="spellStart"/>
      <w:r w:rsidR="003278FF" w:rsidRPr="005E0542">
        <w:t>iii</w:t>
      </w:r>
      <w:proofErr w:type="spellEnd"/>
      <w:r w:rsidR="003278FF" w:rsidRPr="005E0542">
        <w:t xml:space="preserve">) la valoración de la renta fija y variable extranjera, </w:t>
      </w:r>
      <w:r w:rsidR="00F662AE" w:rsidRPr="005E0542">
        <w:t xml:space="preserve">y </w:t>
      </w:r>
      <w:proofErr w:type="spellStart"/>
      <w:r w:rsidR="00F662AE" w:rsidRPr="005E0542">
        <w:t>i</w:t>
      </w:r>
      <w:r w:rsidR="003278FF" w:rsidRPr="005E0542">
        <w:t>v</w:t>
      </w:r>
      <w:proofErr w:type="spellEnd"/>
      <w:r w:rsidR="00F662AE" w:rsidRPr="005E0542">
        <w:t xml:space="preserve">) </w:t>
      </w:r>
      <w:r w:rsidR="002F6DD6" w:rsidRPr="005E0542">
        <w:t>la forma de aplicar el Deterioro</w:t>
      </w:r>
      <w:r w:rsidR="00661999" w:rsidRPr="005E0542">
        <w:t xml:space="preserve"> según IFRS</w:t>
      </w:r>
      <w:r w:rsidR="00E85079" w:rsidRPr="005E0542">
        <w:t xml:space="preserve"> 9</w:t>
      </w:r>
      <w:r w:rsidR="002F6DD6" w:rsidRPr="005E0542">
        <w:t>, pasando de pérdida incurrida a pérdidas esperadas</w:t>
      </w:r>
      <w:r w:rsidR="00945884" w:rsidRPr="005E0542">
        <w:t>,</w:t>
      </w:r>
      <w:r w:rsidR="00D13FAD" w:rsidRPr="005E0542">
        <w:t xml:space="preserve"> para lo cual l</w:t>
      </w:r>
      <w:r w:rsidR="003278FF" w:rsidRPr="005E0542">
        <w:t xml:space="preserve">os </w:t>
      </w:r>
      <w:r w:rsidR="003B2196" w:rsidRPr="005E0542">
        <w:t>o</w:t>
      </w:r>
      <w:r w:rsidR="003278FF" w:rsidRPr="005E0542">
        <w:t xml:space="preserve">rganismos </w:t>
      </w:r>
      <w:r w:rsidR="003B2196" w:rsidRPr="005E0542">
        <w:t>a</w:t>
      </w:r>
      <w:r w:rsidR="003278FF" w:rsidRPr="005E0542">
        <w:t>dministradores</w:t>
      </w:r>
      <w:r w:rsidR="00D13FAD" w:rsidRPr="005E0542">
        <w:t xml:space="preserve"> deberán efectuar una provisión por las pérdidas crediticias esperadas a 12 meses y por las pérdidas crediticias esperadas durante toda la vida útil del instrumento.</w:t>
      </w:r>
    </w:p>
    <w:p w14:paraId="2C39857D" w14:textId="25242B87" w:rsidR="003B2196" w:rsidRPr="005E0542" w:rsidRDefault="00240241" w:rsidP="00E02577">
      <w:pPr>
        <w:spacing w:before="240"/>
        <w:jc w:val="both"/>
      </w:pPr>
      <w:r w:rsidRPr="005E0542">
        <w:t>Por otra parte</w:t>
      </w:r>
      <w:r w:rsidR="00D13FAD" w:rsidRPr="005E0542">
        <w:t xml:space="preserve">, </w:t>
      </w:r>
      <w:r w:rsidRPr="005E0542">
        <w:t xml:space="preserve">en </w:t>
      </w:r>
      <w:r w:rsidR="00D13FAD" w:rsidRPr="005E0542">
        <w:t>el Título IV. Información Financiera,</w:t>
      </w:r>
      <w:r w:rsidRPr="005E0542">
        <w:t xml:space="preserve"> consecuentemente con la eliminación de la cotización extraordinaria y el Fondo de Reserva de Pensiones Adicional, se eliminan estas expresiones en los Estados Financieros y </w:t>
      </w:r>
      <w:r w:rsidR="003B2196" w:rsidRPr="005E0542">
        <w:t xml:space="preserve">las </w:t>
      </w:r>
      <w:r w:rsidRPr="005E0542">
        <w:t>Notas correspondientes</w:t>
      </w:r>
      <w:r w:rsidR="003B2196" w:rsidRPr="005E0542">
        <w:t>.</w:t>
      </w:r>
    </w:p>
    <w:p w14:paraId="266C0312" w14:textId="61D1DE53" w:rsidR="003278FF" w:rsidRDefault="003278FF" w:rsidP="00E02577">
      <w:pPr>
        <w:spacing w:before="240"/>
        <w:jc w:val="both"/>
      </w:pPr>
      <w:r w:rsidRPr="005E0542">
        <w:t>En el caso del ISL, se incorpora el concepto de valor razonable con cambios en resultados, para la valoración de sus carteras de inversiones financieras tanto la que respalda su Reserva de Eventualidades, como la de Libre Disposición.</w:t>
      </w:r>
      <w:r w:rsidR="00240241" w:rsidRPr="005E0542">
        <w:t xml:space="preserve"> </w:t>
      </w:r>
    </w:p>
    <w:p w14:paraId="4B4AF769" w14:textId="16024825" w:rsidR="005E0542" w:rsidRDefault="005E0542" w:rsidP="00E02577">
      <w:pPr>
        <w:spacing w:before="240"/>
        <w:jc w:val="both"/>
      </w:pPr>
    </w:p>
    <w:p w14:paraId="41F84280" w14:textId="77777777" w:rsidR="005E0542" w:rsidRDefault="005E0542" w:rsidP="00E02577">
      <w:pPr>
        <w:spacing w:before="240"/>
        <w:jc w:val="both"/>
      </w:pPr>
    </w:p>
    <w:p w14:paraId="4F72114B" w14:textId="6C1BEDBB" w:rsidR="00F6797A" w:rsidRPr="005E0542" w:rsidRDefault="00240241" w:rsidP="00E02577">
      <w:pPr>
        <w:spacing w:before="240"/>
        <w:jc w:val="both"/>
      </w:pPr>
      <w:r w:rsidRPr="005E0542">
        <w:t xml:space="preserve">Finalmente, se incorpora </w:t>
      </w:r>
      <w:r w:rsidR="00F6797A" w:rsidRPr="005E0542">
        <w:t xml:space="preserve">una nueva columna </w:t>
      </w:r>
      <w:r w:rsidR="002F6DD6" w:rsidRPr="005E0542">
        <w:t>en las revelaciones de las carteras de inversiones financieras, las cuales deberán mostrar su valorización tanto a costo amortizado como a valor razonable</w:t>
      </w:r>
      <w:r w:rsidR="003278FF" w:rsidRPr="005E0542">
        <w:t>;</w:t>
      </w:r>
      <w:r w:rsidR="00853231" w:rsidRPr="005E0542">
        <w:t xml:space="preserve"> la </w:t>
      </w:r>
      <w:proofErr w:type="spellStart"/>
      <w:r w:rsidR="00853231" w:rsidRPr="005E0542">
        <w:t>visibilización</w:t>
      </w:r>
      <w:proofErr w:type="spellEnd"/>
      <w:r w:rsidR="003278FF" w:rsidRPr="005E0542">
        <w:t xml:space="preserve"> </w:t>
      </w:r>
      <w:r w:rsidR="00853231" w:rsidRPr="005E0542">
        <w:t xml:space="preserve">de ambas valorizaciones permitirá </w:t>
      </w:r>
      <w:r w:rsidR="00AA6AAD" w:rsidRPr="005E0542">
        <w:t>conocer</w:t>
      </w:r>
      <w:r w:rsidR="00420057" w:rsidRPr="005E0542">
        <w:t xml:space="preserve"> </w:t>
      </w:r>
      <w:r w:rsidR="00853231" w:rsidRPr="005E0542">
        <w:t xml:space="preserve">con mayor objetividad y transparencia </w:t>
      </w:r>
      <w:r w:rsidR="00420057" w:rsidRPr="005E0542">
        <w:t xml:space="preserve">la situación actual de las </w:t>
      </w:r>
      <w:r w:rsidR="00E02577" w:rsidRPr="005E0542">
        <w:t xml:space="preserve">carteras de </w:t>
      </w:r>
      <w:r w:rsidR="00420057" w:rsidRPr="005E0542">
        <w:t>inversiones financieras</w:t>
      </w:r>
      <w:r w:rsidR="00853231" w:rsidRPr="005E0542">
        <w:t xml:space="preserve"> que forman parte de los Estados Financieros</w:t>
      </w:r>
      <w:r w:rsidR="00E02577" w:rsidRPr="005E0542">
        <w:t xml:space="preserve"> de </w:t>
      </w:r>
      <w:r w:rsidR="003278FF" w:rsidRPr="005E0542">
        <w:t xml:space="preserve">los </w:t>
      </w:r>
      <w:r w:rsidR="003B2196" w:rsidRPr="005E0542">
        <w:t>o</w:t>
      </w:r>
      <w:r w:rsidR="003278FF" w:rsidRPr="005E0542">
        <w:t xml:space="preserve">rganismos </w:t>
      </w:r>
      <w:r w:rsidR="003B2196" w:rsidRPr="005E0542">
        <w:t>a</w:t>
      </w:r>
      <w:r w:rsidR="003278FF" w:rsidRPr="005E0542">
        <w:t>dministradores</w:t>
      </w:r>
      <w:r w:rsidR="00E02577" w:rsidRPr="005E0542">
        <w:t>.</w:t>
      </w:r>
    </w:p>
    <w:p w14:paraId="474F4879" w14:textId="77777777" w:rsidR="005E0542" w:rsidRDefault="005E0542" w:rsidP="00E02577">
      <w:pPr>
        <w:spacing w:before="240"/>
        <w:jc w:val="both"/>
        <w:rPr>
          <w:sz w:val="24"/>
          <w:szCs w:val="24"/>
        </w:rPr>
      </w:pPr>
    </w:p>
    <w:p w14:paraId="50A1700F" w14:textId="77777777" w:rsidR="007A0CF3" w:rsidRPr="00693823" w:rsidRDefault="007A0CF3" w:rsidP="007A0CF3">
      <w:pPr>
        <w:spacing w:after="0"/>
        <w:jc w:val="both"/>
        <w:sectPr w:rsidR="007A0CF3" w:rsidRPr="00693823" w:rsidSect="003C676C">
          <w:headerReference w:type="default" r:id="rId6"/>
          <w:pgSz w:w="12240" w:h="15840" w:code="129"/>
          <w:pgMar w:top="993" w:right="1183" w:bottom="1417" w:left="1418" w:header="1191" w:footer="708" w:gutter="0"/>
          <w:cols w:space="708"/>
          <w:docGrid w:linePitch="360"/>
        </w:sectPr>
      </w:pPr>
      <w:r w:rsidRPr="00693823">
        <w:t xml:space="preserve">Para efectuar comentarios al presente proyecto de circular, se solicita enviar el archivo que se adjunta a continuación, al correo electrónico </w:t>
      </w:r>
      <w:hyperlink r:id="rId7" w:history="1">
        <w:r w:rsidRPr="00693823">
          <w:rPr>
            <w:rStyle w:val="Hipervnculo"/>
            <w:lang w:val="es-ES"/>
          </w:rPr>
          <w:t>isesa</w:t>
        </w:r>
        <w:r w:rsidRPr="00693823">
          <w:rPr>
            <w:rStyle w:val="Hipervnculo"/>
          </w:rPr>
          <w:t>t</w:t>
        </w:r>
        <w:r w:rsidRPr="00693823">
          <w:rPr>
            <w:rStyle w:val="Hipervnculo"/>
            <w:lang w:val="es-ES"/>
          </w:rPr>
          <w:t>@suseso.cl</w:t>
        </w:r>
      </w:hyperlink>
      <w:r w:rsidRPr="00693823">
        <w:rPr>
          <w:lang w:val="es-ES"/>
        </w:rPr>
        <w:t>.</w:t>
      </w:r>
    </w:p>
    <w:tbl>
      <w:tblPr>
        <w:tblStyle w:val="Tablaconcuadrcula"/>
        <w:tblW w:w="12328" w:type="dxa"/>
        <w:jc w:val="center"/>
        <w:tblInd w:w="0" w:type="dxa"/>
        <w:tblLook w:val="04A0" w:firstRow="1" w:lastRow="0" w:firstColumn="1" w:lastColumn="0" w:noHBand="0" w:noVBand="1"/>
      </w:tblPr>
      <w:tblGrid>
        <w:gridCol w:w="1696"/>
        <w:gridCol w:w="1985"/>
        <w:gridCol w:w="1984"/>
        <w:gridCol w:w="2835"/>
        <w:gridCol w:w="3828"/>
      </w:tblGrid>
      <w:tr w:rsidR="007A0CF3" w14:paraId="7A77A55B" w14:textId="77777777" w:rsidTr="00CA1485">
        <w:trPr>
          <w:jc w:val="center"/>
        </w:trPr>
        <w:tc>
          <w:tcPr>
            <w:tcW w:w="12328" w:type="dxa"/>
            <w:gridSpan w:val="5"/>
            <w:tcBorders>
              <w:top w:val="single" w:sz="4" w:space="0" w:color="auto"/>
              <w:left w:val="single" w:sz="4" w:space="0" w:color="auto"/>
              <w:bottom w:val="single" w:sz="4" w:space="0" w:color="auto"/>
              <w:right w:val="single" w:sz="4" w:space="0" w:color="auto"/>
            </w:tcBorders>
          </w:tcPr>
          <w:p w14:paraId="450C0DBB" w14:textId="0920DF7B" w:rsidR="007A0CF3" w:rsidRDefault="007A0CF3" w:rsidP="005E0542">
            <w:pPr>
              <w:jc w:val="center"/>
              <w:rPr>
                <w:rFonts w:ascii="Calibri" w:eastAsia="Times New Roman" w:hAnsi="Calibri" w:cs="Times New Roman"/>
                <w:b/>
                <w:bCs/>
                <w:color w:val="000000"/>
                <w:lang w:eastAsia="es-CL"/>
              </w:rPr>
            </w:pPr>
            <w:r>
              <w:rPr>
                <w:rFonts w:cstheme="minorHAnsi"/>
                <w:b/>
                <w:bCs/>
                <w:sz w:val="24"/>
                <w:szCs w:val="24"/>
              </w:rPr>
              <w:lastRenderedPageBreak/>
              <w:t xml:space="preserve">OBSERVACIONES AL PROYECTO DE CIRCULAR </w:t>
            </w:r>
            <w:r w:rsidR="005E0542" w:rsidRPr="002F6DD6">
              <w:rPr>
                <w:b/>
                <w:sz w:val="24"/>
                <w:szCs w:val="24"/>
              </w:rPr>
              <w:t>FORMATO ÚNICO DE PRESENTACIÓN DE LOS ESTADOS FINANCIEROS</w:t>
            </w:r>
            <w:r w:rsidR="005E0542">
              <w:rPr>
                <w:b/>
                <w:sz w:val="24"/>
                <w:szCs w:val="24"/>
              </w:rPr>
              <w:t xml:space="preserve"> DE LAS MUTUALIDADES Y DE LOS REPORTES FINANCIERO</w:t>
            </w:r>
            <w:r w:rsidR="005E0542">
              <w:rPr>
                <w:b/>
                <w:sz w:val="24"/>
                <w:szCs w:val="24"/>
              </w:rPr>
              <w:t>S</w:t>
            </w:r>
            <w:r w:rsidR="005E0542">
              <w:rPr>
                <w:rFonts w:cstheme="minorHAnsi"/>
                <w:b/>
                <w:bCs/>
                <w:sz w:val="24"/>
                <w:szCs w:val="24"/>
              </w:rPr>
              <w:t xml:space="preserve"> </w:t>
            </w:r>
            <w:r w:rsidR="005E0542">
              <w:rPr>
                <w:rFonts w:cstheme="minorHAnsi"/>
                <w:b/>
                <w:bCs/>
                <w:sz w:val="24"/>
                <w:szCs w:val="24"/>
              </w:rPr>
              <w:t>DEL INSTITUTO DE SEGURIDAD LABORAL</w:t>
            </w:r>
          </w:p>
        </w:tc>
      </w:tr>
      <w:tr w:rsidR="007A0CF3" w14:paraId="5934BEB1" w14:textId="77777777" w:rsidTr="00CA1485">
        <w:trPr>
          <w:jc w:val="center"/>
        </w:trPr>
        <w:tc>
          <w:tcPr>
            <w:tcW w:w="1696"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5B0F9FE0" w14:textId="77777777" w:rsidR="007A0CF3" w:rsidRDefault="007A0CF3" w:rsidP="00CA1485">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PERSONA O ENTIDAD QUE EFECTÚA EL COMENTARIO U OBSERVACIÓN</w:t>
            </w:r>
          </w:p>
        </w:tc>
        <w:tc>
          <w:tcPr>
            <w:tcW w:w="1985"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1752C1F" w14:textId="77777777" w:rsidR="007A0CF3" w:rsidRDefault="007A0CF3" w:rsidP="00CA1485">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 xml:space="preserve">SECCIÓN O NÚMERO, EN EL COMPENDIO </w:t>
            </w:r>
            <w:proofErr w:type="gramStart"/>
            <w:r>
              <w:rPr>
                <w:rFonts w:ascii="Calibri" w:eastAsia="Times New Roman" w:hAnsi="Calibri" w:cs="Times New Roman"/>
                <w:bCs/>
                <w:color w:val="000000"/>
                <w:lang w:eastAsia="es-CL"/>
              </w:rPr>
              <w:t>O  PROYECTO</w:t>
            </w:r>
            <w:proofErr w:type="gramEnd"/>
            <w:r>
              <w:rPr>
                <w:rFonts w:ascii="Calibri" w:eastAsia="Times New Roman" w:hAnsi="Calibri" w:cs="Times New Roman"/>
                <w:bCs/>
                <w:color w:val="000000"/>
                <w:lang w:eastAsia="es-CL"/>
              </w:rPr>
              <w:t xml:space="preserve"> DE CIRCULAR, OBJETO DEL COMENTARIO</w:t>
            </w:r>
          </w:p>
        </w:tc>
        <w:tc>
          <w:tcPr>
            <w:tcW w:w="1984"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72A4947" w14:textId="77777777" w:rsidR="007A0CF3" w:rsidRDefault="007A0CF3" w:rsidP="00CA1485">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 xml:space="preserve">TÍTULO DE LA SECCIÓN DEL PROYECTO O </w:t>
            </w:r>
            <w:proofErr w:type="gramStart"/>
            <w:r>
              <w:rPr>
                <w:rFonts w:ascii="Calibri" w:eastAsia="Times New Roman" w:hAnsi="Calibri" w:cs="Times New Roman"/>
                <w:bCs/>
                <w:color w:val="000000"/>
                <w:lang w:eastAsia="es-CL"/>
              </w:rPr>
              <w:t>COMPENDIO,  OBJETO</w:t>
            </w:r>
            <w:proofErr w:type="gramEnd"/>
            <w:r>
              <w:rPr>
                <w:rFonts w:ascii="Calibri" w:eastAsia="Times New Roman" w:hAnsi="Calibri" w:cs="Times New Roman"/>
                <w:bCs/>
                <w:color w:val="000000"/>
                <w:lang w:eastAsia="es-CL"/>
              </w:rPr>
              <w:t xml:space="preserve"> DEL COMENTARIO</w:t>
            </w:r>
          </w:p>
        </w:tc>
        <w:tc>
          <w:tcPr>
            <w:tcW w:w="2835"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7C49DC1E" w14:textId="77777777" w:rsidR="007A0CF3" w:rsidRDefault="007A0CF3" w:rsidP="00CA1485">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TEXTO DE LA SECCIÓN DEL PROYECTO DE CIRCULAR OBJETO DEL COMENTARIO</w:t>
            </w:r>
          </w:p>
        </w:tc>
        <w:tc>
          <w:tcPr>
            <w:tcW w:w="3828"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388E6080" w14:textId="77777777" w:rsidR="007A0CF3" w:rsidRDefault="007A0CF3" w:rsidP="00CA1485">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COMENTARIOS</w:t>
            </w:r>
          </w:p>
          <w:p w14:paraId="4918D874" w14:textId="77777777" w:rsidR="007A0CF3" w:rsidRDefault="007A0CF3" w:rsidP="00CA1485">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DE LA PERSONA O ENTIDAD</w:t>
            </w:r>
          </w:p>
        </w:tc>
      </w:tr>
      <w:tr w:rsidR="007A0CF3" w14:paraId="0D7181CA" w14:textId="77777777" w:rsidTr="00CA1485">
        <w:trPr>
          <w:jc w:val="center"/>
        </w:trPr>
        <w:tc>
          <w:tcPr>
            <w:tcW w:w="1696" w:type="dxa"/>
            <w:tcBorders>
              <w:top w:val="single" w:sz="4" w:space="0" w:color="auto"/>
              <w:left w:val="single" w:sz="4" w:space="0" w:color="auto"/>
              <w:bottom w:val="single" w:sz="4" w:space="0" w:color="auto"/>
              <w:right w:val="single" w:sz="4" w:space="0" w:color="auto"/>
            </w:tcBorders>
          </w:tcPr>
          <w:p w14:paraId="5784835C" w14:textId="77777777" w:rsidR="007A0CF3" w:rsidRDefault="007A0CF3" w:rsidP="00CA1485">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11B05251" w14:textId="77777777" w:rsidR="007A0CF3" w:rsidRDefault="007A0CF3" w:rsidP="00CA1485">
            <w:pPr>
              <w:jc w:val="both"/>
              <w:textAlignment w:val="baseline"/>
              <w:rPr>
                <w:rFonts w:ascii="Calibri" w:eastAsia="Times New Roman" w:hAnsi="Calibri" w:cs="Times New Roman"/>
                <w:bCs/>
                <w:color w:val="000000"/>
                <w:lang w:eastAsia="es-CL"/>
              </w:rPr>
            </w:pPr>
          </w:p>
          <w:p w14:paraId="3452A480" w14:textId="48EE3584" w:rsidR="007A0CF3" w:rsidRDefault="007A0CF3" w:rsidP="00CA1485">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Organismo administrador</w:t>
            </w:r>
          </w:p>
        </w:tc>
        <w:tc>
          <w:tcPr>
            <w:tcW w:w="1985" w:type="dxa"/>
            <w:tcBorders>
              <w:top w:val="single" w:sz="4" w:space="0" w:color="auto"/>
              <w:left w:val="single" w:sz="4" w:space="0" w:color="auto"/>
              <w:bottom w:val="single" w:sz="4" w:space="0" w:color="auto"/>
              <w:right w:val="single" w:sz="4" w:space="0" w:color="auto"/>
            </w:tcBorders>
          </w:tcPr>
          <w:p w14:paraId="617D8961" w14:textId="77777777" w:rsidR="007A0CF3" w:rsidRDefault="007A0CF3" w:rsidP="00CA1485">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280C4800" w14:textId="77777777" w:rsidR="007A0CF3" w:rsidRDefault="007A0CF3" w:rsidP="00CA1485">
            <w:pPr>
              <w:jc w:val="both"/>
              <w:textAlignment w:val="baseline"/>
              <w:rPr>
                <w:rFonts w:ascii="Calibri" w:eastAsia="Times New Roman" w:hAnsi="Calibri" w:cs="Times New Roman"/>
                <w:bCs/>
                <w:color w:val="000000"/>
                <w:lang w:eastAsia="es-CL"/>
              </w:rPr>
            </w:pPr>
          </w:p>
          <w:p w14:paraId="7A32E1D7" w14:textId="77777777" w:rsidR="007A0CF3" w:rsidRDefault="007A0CF3" w:rsidP="00CA1485">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Número 1, Letra A, Título II, Libro IV</w:t>
            </w:r>
          </w:p>
        </w:tc>
        <w:tc>
          <w:tcPr>
            <w:tcW w:w="1984" w:type="dxa"/>
            <w:tcBorders>
              <w:top w:val="single" w:sz="4" w:space="0" w:color="auto"/>
              <w:left w:val="single" w:sz="4" w:space="0" w:color="auto"/>
              <w:bottom w:val="single" w:sz="4" w:space="0" w:color="auto"/>
              <w:right w:val="single" w:sz="4" w:space="0" w:color="auto"/>
            </w:tcBorders>
          </w:tcPr>
          <w:p w14:paraId="0D0EFE01" w14:textId="77777777" w:rsidR="007A0CF3" w:rsidRDefault="007A0CF3" w:rsidP="00CA1485">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13331A72" w14:textId="77777777" w:rsidR="007A0CF3" w:rsidRDefault="007A0CF3" w:rsidP="00CA1485">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1. Actividades permanentes de prevención de riesgos laborales</w:t>
            </w:r>
          </w:p>
          <w:p w14:paraId="2A8A5617" w14:textId="77777777" w:rsidR="007A0CF3" w:rsidRDefault="007A0CF3" w:rsidP="00CA1485">
            <w:pPr>
              <w:jc w:val="both"/>
              <w:textAlignment w:val="baseline"/>
              <w:rPr>
                <w:rFonts w:ascii="Calibri" w:eastAsia="Times New Roman" w:hAnsi="Calibri" w:cs="Times New Roman"/>
                <w:bCs/>
                <w:color w:val="000000"/>
                <w:lang w:eastAsia="es-CL"/>
              </w:rPr>
            </w:pPr>
          </w:p>
        </w:tc>
        <w:tc>
          <w:tcPr>
            <w:tcW w:w="2835" w:type="dxa"/>
            <w:tcBorders>
              <w:top w:val="single" w:sz="4" w:space="0" w:color="auto"/>
              <w:left w:val="single" w:sz="4" w:space="0" w:color="auto"/>
              <w:bottom w:val="single" w:sz="4" w:space="0" w:color="auto"/>
              <w:right w:val="single" w:sz="4" w:space="0" w:color="auto"/>
            </w:tcBorders>
            <w:hideMark/>
          </w:tcPr>
          <w:p w14:paraId="18157F8F" w14:textId="77777777" w:rsidR="007A0CF3" w:rsidRDefault="007A0CF3" w:rsidP="00CA1485">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0BCB4434" w14:textId="77777777" w:rsidR="007A0CF3" w:rsidRDefault="007A0CF3" w:rsidP="00CA1485">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 xml:space="preserve">La expresión "actividades permanentes de prevención de riesgos", está referida a todas aquellas gestiones, procedimientos o instrucciones que los organismos administradores deben realizar dentro del marco legal y reglamentario vigente, en relación con la naturaleza y magnitud del riesgo asociado a la actividad productiva de sus trabajadores independientes y entidades empleadoras afiliadas y que éstas deberán implementar, cuando corresponda, con el concurso de los Departamentos de Prevención de Riesgos Profesionales y/o de los Comités Paritarios, según sea </w:t>
            </w:r>
            <w:r>
              <w:rPr>
                <w:rFonts w:ascii="Calibri" w:eastAsia="Times New Roman" w:hAnsi="Calibri" w:cs="Times New Roman"/>
                <w:bCs/>
                <w:color w:val="000000"/>
                <w:lang w:eastAsia="es-CL"/>
              </w:rPr>
              <w:lastRenderedPageBreak/>
              <w:t>el caso, con independencia de la ocurrencia o no de siniestros de accidentes del trabajo o enfermedades profesionales.</w:t>
            </w:r>
          </w:p>
        </w:tc>
        <w:tc>
          <w:tcPr>
            <w:tcW w:w="3828" w:type="dxa"/>
            <w:tcBorders>
              <w:top w:val="single" w:sz="4" w:space="0" w:color="auto"/>
              <w:left w:val="single" w:sz="4" w:space="0" w:color="auto"/>
              <w:bottom w:val="single" w:sz="4" w:space="0" w:color="auto"/>
              <w:right w:val="single" w:sz="4" w:space="0" w:color="auto"/>
            </w:tcBorders>
          </w:tcPr>
          <w:p w14:paraId="10043BA9" w14:textId="77777777" w:rsidR="007A0CF3" w:rsidRDefault="007A0CF3" w:rsidP="00CA1485">
            <w:pPr>
              <w:jc w:val="both"/>
              <w:textAlignment w:val="baseline"/>
              <w:rPr>
                <w:rFonts w:ascii="Calibri" w:eastAsia="Times New Roman" w:hAnsi="Calibri" w:cs="Times New Roman"/>
                <w:bCs/>
                <w:color w:val="000000"/>
                <w:lang w:eastAsia="es-CL"/>
              </w:rPr>
            </w:pPr>
          </w:p>
        </w:tc>
      </w:tr>
      <w:tr w:rsidR="007A0CF3" w14:paraId="4FDEED35" w14:textId="77777777" w:rsidTr="00CA1485">
        <w:trPr>
          <w:jc w:val="center"/>
        </w:trPr>
        <w:tc>
          <w:tcPr>
            <w:tcW w:w="1696" w:type="dxa"/>
            <w:tcBorders>
              <w:top w:val="single" w:sz="4" w:space="0" w:color="auto"/>
              <w:left w:val="single" w:sz="4" w:space="0" w:color="auto"/>
              <w:bottom w:val="single" w:sz="4" w:space="0" w:color="auto"/>
              <w:right w:val="single" w:sz="4" w:space="0" w:color="auto"/>
            </w:tcBorders>
          </w:tcPr>
          <w:p w14:paraId="568CC91F" w14:textId="77777777" w:rsidR="007A0CF3" w:rsidRDefault="007A0CF3" w:rsidP="00CA1485">
            <w:pPr>
              <w:jc w:val="both"/>
              <w:textAlignment w:val="baseline"/>
              <w:rPr>
                <w:rFonts w:ascii="Calibri" w:eastAsia="Times New Roman" w:hAnsi="Calibri" w:cs="Times New Roman"/>
                <w:bCs/>
                <w:color w:val="000000"/>
                <w:lang w:eastAsia="es-CL"/>
              </w:rPr>
            </w:pPr>
          </w:p>
        </w:tc>
        <w:tc>
          <w:tcPr>
            <w:tcW w:w="1985" w:type="dxa"/>
            <w:tcBorders>
              <w:top w:val="single" w:sz="4" w:space="0" w:color="auto"/>
              <w:left w:val="single" w:sz="4" w:space="0" w:color="auto"/>
              <w:bottom w:val="single" w:sz="4" w:space="0" w:color="auto"/>
              <w:right w:val="single" w:sz="4" w:space="0" w:color="auto"/>
            </w:tcBorders>
          </w:tcPr>
          <w:p w14:paraId="720C8094" w14:textId="77777777" w:rsidR="007A0CF3" w:rsidRDefault="007A0CF3" w:rsidP="00CA1485">
            <w:pPr>
              <w:jc w:val="both"/>
              <w:textAlignment w:val="baseline"/>
              <w:rPr>
                <w:rFonts w:ascii="Calibri" w:eastAsia="Times New Roman" w:hAnsi="Calibri" w:cs="Times New Roman"/>
                <w:bCs/>
                <w:color w:val="000000"/>
                <w:lang w:eastAsia="es-CL"/>
              </w:rPr>
            </w:pPr>
          </w:p>
        </w:tc>
        <w:tc>
          <w:tcPr>
            <w:tcW w:w="1984" w:type="dxa"/>
            <w:tcBorders>
              <w:top w:val="single" w:sz="4" w:space="0" w:color="auto"/>
              <w:left w:val="single" w:sz="4" w:space="0" w:color="auto"/>
              <w:bottom w:val="single" w:sz="4" w:space="0" w:color="auto"/>
              <w:right w:val="single" w:sz="4" w:space="0" w:color="auto"/>
            </w:tcBorders>
          </w:tcPr>
          <w:p w14:paraId="64AD9132" w14:textId="77777777" w:rsidR="007A0CF3" w:rsidRDefault="007A0CF3" w:rsidP="00CA1485">
            <w:pPr>
              <w:jc w:val="both"/>
              <w:textAlignment w:val="baseline"/>
              <w:rPr>
                <w:rFonts w:ascii="Calibri" w:eastAsia="Times New Roman" w:hAnsi="Calibri" w:cs="Times New Roman"/>
                <w:bCs/>
                <w:color w:val="000000"/>
                <w:lang w:eastAsia="es-CL"/>
              </w:rPr>
            </w:pPr>
          </w:p>
        </w:tc>
        <w:tc>
          <w:tcPr>
            <w:tcW w:w="2835" w:type="dxa"/>
            <w:tcBorders>
              <w:top w:val="single" w:sz="4" w:space="0" w:color="auto"/>
              <w:left w:val="single" w:sz="4" w:space="0" w:color="auto"/>
              <w:bottom w:val="single" w:sz="4" w:space="0" w:color="auto"/>
              <w:right w:val="single" w:sz="4" w:space="0" w:color="auto"/>
            </w:tcBorders>
          </w:tcPr>
          <w:p w14:paraId="71A80680" w14:textId="77777777" w:rsidR="007A0CF3" w:rsidRDefault="007A0CF3" w:rsidP="00CA1485">
            <w:pPr>
              <w:jc w:val="both"/>
              <w:textAlignment w:val="baseline"/>
              <w:rPr>
                <w:rFonts w:ascii="Calibri" w:eastAsia="Times New Roman" w:hAnsi="Calibri" w:cs="Times New Roman"/>
                <w:bCs/>
                <w:color w:val="000000"/>
                <w:lang w:eastAsia="es-CL"/>
              </w:rPr>
            </w:pPr>
          </w:p>
        </w:tc>
        <w:tc>
          <w:tcPr>
            <w:tcW w:w="3828" w:type="dxa"/>
            <w:tcBorders>
              <w:top w:val="single" w:sz="4" w:space="0" w:color="auto"/>
              <w:left w:val="single" w:sz="4" w:space="0" w:color="auto"/>
              <w:bottom w:val="single" w:sz="4" w:space="0" w:color="auto"/>
              <w:right w:val="single" w:sz="4" w:space="0" w:color="auto"/>
            </w:tcBorders>
          </w:tcPr>
          <w:p w14:paraId="560E4673" w14:textId="77777777" w:rsidR="007A0CF3" w:rsidRDefault="007A0CF3" w:rsidP="00CA1485">
            <w:pPr>
              <w:jc w:val="both"/>
              <w:textAlignment w:val="baseline"/>
              <w:rPr>
                <w:rFonts w:ascii="Calibri" w:eastAsia="Times New Roman" w:hAnsi="Calibri" w:cs="Times New Roman"/>
                <w:bCs/>
                <w:color w:val="000000"/>
                <w:lang w:eastAsia="es-CL"/>
              </w:rPr>
            </w:pPr>
          </w:p>
          <w:p w14:paraId="7CB17D9E" w14:textId="77777777" w:rsidR="007A0CF3" w:rsidRDefault="007A0CF3" w:rsidP="00CA1485">
            <w:pPr>
              <w:jc w:val="both"/>
              <w:textAlignment w:val="baseline"/>
              <w:rPr>
                <w:rFonts w:ascii="Calibri" w:eastAsia="Times New Roman" w:hAnsi="Calibri" w:cs="Times New Roman"/>
                <w:bCs/>
                <w:color w:val="000000"/>
                <w:lang w:eastAsia="es-CL"/>
              </w:rPr>
            </w:pPr>
          </w:p>
          <w:p w14:paraId="402D206B" w14:textId="77777777" w:rsidR="007A0CF3" w:rsidRDefault="007A0CF3" w:rsidP="00CA1485">
            <w:pPr>
              <w:jc w:val="both"/>
              <w:textAlignment w:val="baseline"/>
              <w:rPr>
                <w:rFonts w:ascii="Calibri" w:eastAsia="Times New Roman" w:hAnsi="Calibri" w:cs="Times New Roman"/>
                <w:bCs/>
                <w:color w:val="000000"/>
                <w:lang w:eastAsia="es-CL"/>
              </w:rPr>
            </w:pPr>
          </w:p>
          <w:p w14:paraId="1E4172D4" w14:textId="77777777" w:rsidR="007A0CF3" w:rsidRDefault="007A0CF3" w:rsidP="00CA1485">
            <w:pPr>
              <w:jc w:val="both"/>
              <w:textAlignment w:val="baseline"/>
              <w:rPr>
                <w:rFonts w:ascii="Calibri" w:eastAsia="Times New Roman" w:hAnsi="Calibri" w:cs="Times New Roman"/>
                <w:bCs/>
                <w:color w:val="000000"/>
                <w:lang w:eastAsia="es-CL"/>
              </w:rPr>
            </w:pPr>
          </w:p>
        </w:tc>
      </w:tr>
      <w:tr w:rsidR="007A0CF3" w14:paraId="4160A2EC" w14:textId="77777777" w:rsidTr="00CA1485">
        <w:trPr>
          <w:jc w:val="center"/>
        </w:trPr>
        <w:tc>
          <w:tcPr>
            <w:tcW w:w="1696" w:type="dxa"/>
            <w:tcBorders>
              <w:top w:val="single" w:sz="4" w:space="0" w:color="auto"/>
              <w:left w:val="single" w:sz="4" w:space="0" w:color="auto"/>
              <w:bottom w:val="single" w:sz="4" w:space="0" w:color="auto"/>
              <w:right w:val="single" w:sz="4" w:space="0" w:color="auto"/>
            </w:tcBorders>
          </w:tcPr>
          <w:p w14:paraId="363EDAF4" w14:textId="77777777" w:rsidR="007A0CF3" w:rsidRDefault="007A0CF3" w:rsidP="00CA1485">
            <w:pPr>
              <w:jc w:val="both"/>
              <w:textAlignment w:val="baseline"/>
              <w:rPr>
                <w:rFonts w:ascii="Calibri" w:eastAsia="Times New Roman" w:hAnsi="Calibri" w:cs="Times New Roman"/>
                <w:bCs/>
                <w:color w:val="000000"/>
                <w:lang w:eastAsia="es-CL"/>
              </w:rPr>
            </w:pPr>
          </w:p>
        </w:tc>
        <w:tc>
          <w:tcPr>
            <w:tcW w:w="1985" w:type="dxa"/>
            <w:tcBorders>
              <w:top w:val="single" w:sz="4" w:space="0" w:color="auto"/>
              <w:left w:val="single" w:sz="4" w:space="0" w:color="auto"/>
              <w:bottom w:val="single" w:sz="4" w:space="0" w:color="auto"/>
              <w:right w:val="single" w:sz="4" w:space="0" w:color="auto"/>
            </w:tcBorders>
          </w:tcPr>
          <w:p w14:paraId="24628E2C" w14:textId="77777777" w:rsidR="007A0CF3" w:rsidRDefault="007A0CF3" w:rsidP="00CA1485">
            <w:pPr>
              <w:jc w:val="both"/>
              <w:textAlignment w:val="baseline"/>
              <w:rPr>
                <w:rFonts w:ascii="Calibri" w:eastAsia="Times New Roman" w:hAnsi="Calibri" w:cs="Times New Roman"/>
                <w:bCs/>
                <w:color w:val="000000"/>
                <w:lang w:eastAsia="es-CL"/>
              </w:rPr>
            </w:pPr>
          </w:p>
        </w:tc>
        <w:tc>
          <w:tcPr>
            <w:tcW w:w="1984" w:type="dxa"/>
            <w:tcBorders>
              <w:top w:val="single" w:sz="4" w:space="0" w:color="auto"/>
              <w:left w:val="single" w:sz="4" w:space="0" w:color="auto"/>
              <w:bottom w:val="single" w:sz="4" w:space="0" w:color="auto"/>
              <w:right w:val="single" w:sz="4" w:space="0" w:color="auto"/>
            </w:tcBorders>
          </w:tcPr>
          <w:p w14:paraId="73F4E50E" w14:textId="77777777" w:rsidR="007A0CF3" w:rsidRDefault="007A0CF3" w:rsidP="00CA1485">
            <w:pPr>
              <w:jc w:val="both"/>
              <w:textAlignment w:val="baseline"/>
              <w:rPr>
                <w:rFonts w:ascii="Calibri" w:eastAsia="Times New Roman" w:hAnsi="Calibri" w:cs="Times New Roman"/>
                <w:bCs/>
                <w:color w:val="000000"/>
                <w:lang w:eastAsia="es-CL"/>
              </w:rPr>
            </w:pPr>
          </w:p>
        </w:tc>
        <w:tc>
          <w:tcPr>
            <w:tcW w:w="2835" w:type="dxa"/>
            <w:tcBorders>
              <w:top w:val="single" w:sz="4" w:space="0" w:color="auto"/>
              <w:left w:val="single" w:sz="4" w:space="0" w:color="auto"/>
              <w:bottom w:val="single" w:sz="4" w:space="0" w:color="auto"/>
              <w:right w:val="single" w:sz="4" w:space="0" w:color="auto"/>
            </w:tcBorders>
          </w:tcPr>
          <w:p w14:paraId="15043756" w14:textId="77777777" w:rsidR="007A0CF3" w:rsidRDefault="007A0CF3" w:rsidP="00CA1485">
            <w:pPr>
              <w:jc w:val="both"/>
              <w:textAlignment w:val="baseline"/>
              <w:rPr>
                <w:rFonts w:ascii="Calibri" w:eastAsia="Times New Roman" w:hAnsi="Calibri" w:cs="Times New Roman"/>
                <w:bCs/>
                <w:color w:val="000000"/>
                <w:lang w:eastAsia="es-CL"/>
              </w:rPr>
            </w:pPr>
          </w:p>
        </w:tc>
        <w:tc>
          <w:tcPr>
            <w:tcW w:w="3828" w:type="dxa"/>
            <w:tcBorders>
              <w:top w:val="single" w:sz="4" w:space="0" w:color="auto"/>
              <w:left w:val="single" w:sz="4" w:space="0" w:color="auto"/>
              <w:bottom w:val="single" w:sz="4" w:space="0" w:color="auto"/>
              <w:right w:val="single" w:sz="4" w:space="0" w:color="auto"/>
            </w:tcBorders>
          </w:tcPr>
          <w:p w14:paraId="5DCB8B6C" w14:textId="77777777" w:rsidR="007A0CF3" w:rsidRDefault="007A0CF3" w:rsidP="00CA1485">
            <w:pPr>
              <w:jc w:val="both"/>
              <w:textAlignment w:val="baseline"/>
              <w:rPr>
                <w:rFonts w:ascii="Calibri" w:eastAsia="Times New Roman" w:hAnsi="Calibri" w:cs="Times New Roman"/>
                <w:bCs/>
                <w:color w:val="000000"/>
                <w:lang w:eastAsia="es-CL"/>
              </w:rPr>
            </w:pPr>
          </w:p>
          <w:p w14:paraId="64B09C61" w14:textId="77777777" w:rsidR="007A0CF3" w:rsidRDefault="007A0CF3" w:rsidP="00CA1485">
            <w:pPr>
              <w:jc w:val="both"/>
              <w:textAlignment w:val="baseline"/>
              <w:rPr>
                <w:rFonts w:ascii="Calibri" w:eastAsia="Times New Roman" w:hAnsi="Calibri" w:cs="Times New Roman"/>
                <w:bCs/>
                <w:color w:val="000000"/>
                <w:lang w:eastAsia="es-CL"/>
              </w:rPr>
            </w:pPr>
          </w:p>
          <w:p w14:paraId="666C0F86" w14:textId="77777777" w:rsidR="007A0CF3" w:rsidRDefault="007A0CF3" w:rsidP="00CA1485">
            <w:pPr>
              <w:jc w:val="both"/>
              <w:textAlignment w:val="baseline"/>
              <w:rPr>
                <w:rFonts w:ascii="Calibri" w:eastAsia="Times New Roman" w:hAnsi="Calibri" w:cs="Times New Roman"/>
                <w:bCs/>
                <w:color w:val="000000"/>
                <w:lang w:eastAsia="es-CL"/>
              </w:rPr>
            </w:pPr>
          </w:p>
          <w:p w14:paraId="5A9C8329" w14:textId="77777777" w:rsidR="007A0CF3" w:rsidRDefault="007A0CF3" w:rsidP="00CA1485">
            <w:pPr>
              <w:jc w:val="both"/>
              <w:textAlignment w:val="baseline"/>
              <w:rPr>
                <w:rFonts w:ascii="Calibri" w:eastAsia="Times New Roman" w:hAnsi="Calibri" w:cs="Times New Roman"/>
                <w:bCs/>
                <w:color w:val="000000"/>
                <w:lang w:eastAsia="es-CL"/>
              </w:rPr>
            </w:pPr>
          </w:p>
        </w:tc>
      </w:tr>
      <w:tr w:rsidR="007A0CF3" w14:paraId="325FA525" w14:textId="77777777" w:rsidTr="00CA1485">
        <w:trPr>
          <w:jc w:val="center"/>
        </w:trPr>
        <w:tc>
          <w:tcPr>
            <w:tcW w:w="1696" w:type="dxa"/>
            <w:tcBorders>
              <w:top w:val="single" w:sz="4" w:space="0" w:color="auto"/>
              <w:left w:val="single" w:sz="4" w:space="0" w:color="auto"/>
              <w:bottom w:val="single" w:sz="4" w:space="0" w:color="auto"/>
              <w:right w:val="single" w:sz="4" w:space="0" w:color="auto"/>
            </w:tcBorders>
          </w:tcPr>
          <w:p w14:paraId="33570835" w14:textId="77777777" w:rsidR="007A0CF3" w:rsidRDefault="007A0CF3" w:rsidP="00CA1485">
            <w:pPr>
              <w:jc w:val="both"/>
              <w:textAlignment w:val="baseline"/>
              <w:rPr>
                <w:rFonts w:ascii="Calibri" w:eastAsia="Times New Roman" w:hAnsi="Calibri" w:cs="Times New Roman"/>
                <w:bCs/>
                <w:color w:val="000000"/>
                <w:lang w:eastAsia="es-CL"/>
              </w:rPr>
            </w:pPr>
          </w:p>
        </w:tc>
        <w:tc>
          <w:tcPr>
            <w:tcW w:w="1985" w:type="dxa"/>
            <w:tcBorders>
              <w:top w:val="single" w:sz="4" w:space="0" w:color="auto"/>
              <w:left w:val="single" w:sz="4" w:space="0" w:color="auto"/>
              <w:bottom w:val="single" w:sz="4" w:space="0" w:color="auto"/>
              <w:right w:val="single" w:sz="4" w:space="0" w:color="auto"/>
            </w:tcBorders>
          </w:tcPr>
          <w:p w14:paraId="2CE2B63E" w14:textId="77777777" w:rsidR="007A0CF3" w:rsidRDefault="007A0CF3" w:rsidP="00CA1485">
            <w:pPr>
              <w:jc w:val="both"/>
              <w:textAlignment w:val="baseline"/>
              <w:rPr>
                <w:rFonts w:ascii="Calibri" w:eastAsia="Times New Roman" w:hAnsi="Calibri" w:cs="Times New Roman"/>
                <w:bCs/>
                <w:color w:val="000000"/>
                <w:lang w:eastAsia="es-CL"/>
              </w:rPr>
            </w:pPr>
          </w:p>
        </w:tc>
        <w:tc>
          <w:tcPr>
            <w:tcW w:w="1984" w:type="dxa"/>
            <w:tcBorders>
              <w:top w:val="single" w:sz="4" w:space="0" w:color="auto"/>
              <w:left w:val="single" w:sz="4" w:space="0" w:color="auto"/>
              <w:bottom w:val="single" w:sz="4" w:space="0" w:color="auto"/>
              <w:right w:val="single" w:sz="4" w:space="0" w:color="auto"/>
            </w:tcBorders>
          </w:tcPr>
          <w:p w14:paraId="10762BF6" w14:textId="77777777" w:rsidR="007A0CF3" w:rsidRDefault="007A0CF3" w:rsidP="00CA1485">
            <w:pPr>
              <w:jc w:val="both"/>
              <w:textAlignment w:val="baseline"/>
              <w:rPr>
                <w:rFonts w:ascii="Calibri" w:eastAsia="Times New Roman" w:hAnsi="Calibri" w:cs="Times New Roman"/>
                <w:bCs/>
                <w:color w:val="000000"/>
                <w:lang w:eastAsia="es-CL"/>
              </w:rPr>
            </w:pPr>
          </w:p>
        </w:tc>
        <w:tc>
          <w:tcPr>
            <w:tcW w:w="2835" w:type="dxa"/>
            <w:tcBorders>
              <w:top w:val="single" w:sz="4" w:space="0" w:color="auto"/>
              <w:left w:val="single" w:sz="4" w:space="0" w:color="auto"/>
              <w:bottom w:val="single" w:sz="4" w:space="0" w:color="auto"/>
              <w:right w:val="single" w:sz="4" w:space="0" w:color="auto"/>
            </w:tcBorders>
          </w:tcPr>
          <w:p w14:paraId="20814221" w14:textId="77777777" w:rsidR="007A0CF3" w:rsidRDefault="007A0CF3" w:rsidP="00CA1485">
            <w:pPr>
              <w:jc w:val="both"/>
              <w:textAlignment w:val="baseline"/>
              <w:rPr>
                <w:rFonts w:ascii="Calibri" w:eastAsia="Times New Roman" w:hAnsi="Calibri" w:cs="Times New Roman"/>
                <w:bCs/>
                <w:color w:val="000000"/>
                <w:lang w:eastAsia="es-CL"/>
              </w:rPr>
            </w:pPr>
          </w:p>
        </w:tc>
        <w:tc>
          <w:tcPr>
            <w:tcW w:w="3828" w:type="dxa"/>
            <w:tcBorders>
              <w:top w:val="single" w:sz="4" w:space="0" w:color="auto"/>
              <w:left w:val="single" w:sz="4" w:space="0" w:color="auto"/>
              <w:bottom w:val="single" w:sz="4" w:space="0" w:color="auto"/>
              <w:right w:val="single" w:sz="4" w:space="0" w:color="auto"/>
            </w:tcBorders>
          </w:tcPr>
          <w:p w14:paraId="19D2A396" w14:textId="77777777" w:rsidR="007A0CF3" w:rsidRDefault="007A0CF3" w:rsidP="00CA1485">
            <w:pPr>
              <w:jc w:val="both"/>
              <w:textAlignment w:val="baseline"/>
              <w:rPr>
                <w:rFonts w:ascii="Calibri" w:eastAsia="Times New Roman" w:hAnsi="Calibri" w:cs="Times New Roman"/>
                <w:bCs/>
                <w:color w:val="000000"/>
                <w:lang w:eastAsia="es-CL"/>
              </w:rPr>
            </w:pPr>
          </w:p>
          <w:p w14:paraId="40DA82CA" w14:textId="77777777" w:rsidR="007A0CF3" w:rsidRDefault="007A0CF3" w:rsidP="00CA1485">
            <w:pPr>
              <w:jc w:val="both"/>
              <w:textAlignment w:val="baseline"/>
              <w:rPr>
                <w:rFonts w:ascii="Calibri" w:eastAsia="Times New Roman" w:hAnsi="Calibri" w:cs="Times New Roman"/>
                <w:bCs/>
                <w:color w:val="000000"/>
                <w:lang w:eastAsia="es-CL"/>
              </w:rPr>
            </w:pPr>
          </w:p>
          <w:p w14:paraId="19D85C4C" w14:textId="77777777" w:rsidR="007A0CF3" w:rsidRDefault="007A0CF3" w:rsidP="00CA1485">
            <w:pPr>
              <w:jc w:val="both"/>
              <w:textAlignment w:val="baseline"/>
              <w:rPr>
                <w:rFonts w:ascii="Calibri" w:eastAsia="Times New Roman" w:hAnsi="Calibri" w:cs="Times New Roman"/>
                <w:bCs/>
                <w:color w:val="000000"/>
                <w:lang w:eastAsia="es-CL"/>
              </w:rPr>
            </w:pPr>
          </w:p>
          <w:p w14:paraId="1C598C14" w14:textId="77777777" w:rsidR="007A0CF3" w:rsidRDefault="007A0CF3" w:rsidP="00CA1485">
            <w:pPr>
              <w:jc w:val="both"/>
              <w:textAlignment w:val="baseline"/>
              <w:rPr>
                <w:rFonts w:ascii="Calibri" w:eastAsia="Times New Roman" w:hAnsi="Calibri" w:cs="Times New Roman"/>
                <w:bCs/>
                <w:color w:val="000000"/>
                <w:lang w:eastAsia="es-CL"/>
              </w:rPr>
            </w:pPr>
          </w:p>
        </w:tc>
      </w:tr>
      <w:tr w:rsidR="007A0CF3" w14:paraId="2131D6BF" w14:textId="77777777" w:rsidTr="00CA1485">
        <w:trPr>
          <w:jc w:val="center"/>
        </w:trPr>
        <w:tc>
          <w:tcPr>
            <w:tcW w:w="1696" w:type="dxa"/>
            <w:tcBorders>
              <w:top w:val="single" w:sz="4" w:space="0" w:color="auto"/>
              <w:left w:val="single" w:sz="4" w:space="0" w:color="auto"/>
              <w:bottom w:val="single" w:sz="4" w:space="0" w:color="auto"/>
              <w:right w:val="single" w:sz="4" w:space="0" w:color="auto"/>
            </w:tcBorders>
          </w:tcPr>
          <w:p w14:paraId="1A4F5A08" w14:textId="77777777" w:rsidR="007A0CF3" w:rsidRDefault="007A0CF3" w:rsidP="00CA1485">
            <w:pPr>
              <w:jc w:val="both"/>
              <w:textAlignment w:val="baseline"/>
              <w:rPr>
                <w:rFonts w:ascii="Calibri" w:eastAsia="Times New Roman" w:hAnsi="Calibri" w:cs="Times New Roman"/>
                <w:bCs/>
                <w:color w:val="000000"/>
                <w:lang w:eastAsia="es-CL"/>
              </w:rPr>
            </w:pPr>
          </w:p>
        </w:tc>
        <w:tc>
          <w:tcPr>
            <w:tcW w:w="1985" w:type="dxa"/>
            <w:tcBorders>
              <w:top w:val="single" w:sz="4" w:space="0" w:color="auto"/>
              <w:left w:val="single" w:sz="4" w:space="0" w:color="auto"/>
              <w:bottom w:val="single" w:sz="4" w:space="0" w:color="auto"/>
              <w:right w:val="single" w:sz="4" w:space="0" w:color="auto"/>
            </w:tcBorders>
          </w:tcPr>
          <w:p w14:paraId="713D935C" w14:textId="77777777" w:rsidR="007A0CF3" w:rsidRDefault="007A0CF3" w:rsidP="00CA1485">
            <w:pPr>
              <w:jc w:val="both"/>
              <w:textAlignment w:val="baseline"/>
              <w:rPr>
                <w:rFonts w:ascii="Calibri" w:eastAsia="Times New Roman" w:hAnsi="Calibri" w:cs="Times New Roman"/>
                <w:bCs/>
                <w:color w:val="000000"/>
                <w:lang w:eastAsia="es-CL"/>
              </w:rPr>
            </w:pPr>
          </w:p>
        </w:tc>
        <w:tc>
          <w:tcPr>
            <w:tcW w:w="1984" w:type="dxa"/>
            <w:tcBorders>
              <w:top w:val="single" w:sz="4" w:space="0" w:color="auto"/>
              <w:left w:val="single" w:sz="4" w:space="0" w:color="auto"/>
              <w:bottom w:val="single" w:sz="4" w:space="0" w:color="auto"/>
              <w:right w:val="single" w:sz="4" w:space="0" w:color="auto"/>
            </w:tcBorders>
          </w:tcPr>
          <w:p w14:paraId="624B21F0" w14:textId="77777777" w:rsidR="007A0CF3" w:rsidRDefault="007A0CF3" w:rsidP="00CA1485">
            <w:pPr>
              <w:jc w:val="both"/>
              <w:textAlignment w:val="baseline"/>
              <w:rPr>
                <w:rFonts w:ascii="Calibri" w:eastAsia="Times New Roman" w:hAnsi="Calibri" w:cs="Times New Roman"/>
                <w:bCs/>
                <w:color w:val="000000"/>
                <w:lang w:eastAsia="es-CL"/>
              </w:rPr>
            </w:pPr>
          </w:p>
        </w:tc>
        <w:tc>
          <w:tcPr>
            <w:tcW w:w="2835" w:type="dxa"/>
            <w:tcBorders>
              <w:top w:val="single" w:sz="4" w:space="0" w:color="auto"/>
              <w:left w:val="single" w:sz="4" w:space="0" w:color="auto"/>
              <w:bottom w:val="single" w:sz="4" w:space="0" w:color="auto"/>
              <w:right w:val="single" w:sz="4" w:space="0" w:color="auto"/>
            </w:tcBorders>
          </w:tcPr>
          <w:p w14:paraId="7761D537" w14:textId="77777777" w:rsidR="007A0CF3" w:rsidRDefault="007A0CF3" w:rsidP="00CA1485">
            <w:pPr>
              <w:jc w:val="both"/>
              <w:textAlignment w:val="baseline"/>
              <w:rPr>
                <w:rFonts w:ascii="Calibri" w:eastAsia="Times New Roman" w:hAnsi="Calibri" w:cs="Times New Roman"/>
                <w:bCs/>
                <w:color w:val="000000"/>
                <w:lang w:eastAsia="es-CL"/>
              </w:rPr>
            </w:pPr>
          </w:p>
        </w:tc>
        <w:tc>
          <w:tcPr>
            <w:tcW w:w="3828" w:type="dxa"/>
            <w:tcBorders>
              <w:top w:val="single" w:sz="4" w:space="0" w:color="auto"/>
              <w:left w:val="single" w:sz="4" w:space="0" w:color="auto"/>
              <w:bottom w:val="single" w:sz="4" w:space="0" w:color="auto"/>
              <w:right w:val="single" w:sz="4" w:space="0" w:color="auto"/>
            </w:tcBorders>
          </w:tcPr>
          <w:p w14:paraId="7F3DA7CC" w14:textId="77777777" w:rsidR="007A0CF3" w:rsidRDefault="007A0CF3" w:rsidP="00CA1485">
            <w:pPr>
              <w:jc w:val="both"/>
              <w:textAlignment w:val="baseline"/>
              <w:rPr>
                <w:rFonts w:ascii="Calibri" w:eastAsia="Times New Roman" w:hAnsi="Calibri" w:cs="Times New Roman"/>
                <w:bCs/>
                <w:color w:val="000000"/>
                <w:lang w:eastAsia="es-CL"/>
              </w:rPr>
            </w:pPr>
          </w:p>
          <w:p w14:paraId="7B5B3105" w14:textId="77777777" w:rsidR="007A0CF3" w:rsidRDefault="007A0CF3" w:rsidP="00CA1485">
            <w:pPr>
              <w:jc w:val="both"/>
              <w:textAlignment w:val="baseline"/>
              <w:rPr>
                <w:rFonts w:ascii="Calibri" w:eastAsia="Times New Roman" w:hAnsi="Calibri" w:cs="Times New Roman"/>
                <w:bCs/>
                <w:color w:val="000000"/>
                <w:lang w:eastAsia="es-CL"/>
              </w:rPr>
            </w:pPr>
          </w:p>
          <w:p w14:paraId="74748D04" w14:textId="77777777" w:rsidR="007A0CF3" w:rsidRDefault="007A0CF3" w:rsidP="00CA1485">
            <w:pPr>
              <w:jc w:val="both"/>
              <w:textAlignment w:val="baseline"/>
              <w:rPr>
                <w:rFonts w:ascii="Calibri" w:eastAsia="Times New Roman" w:hAnsi="Calibri" w:cs="Times New Roman"/>
                <w:bCs/>
                <w:color w:val="000000"/>
                <w:lang w:eastAsia="es-CL"/>
              </w:rPr>
            </w:pPr>
          </w:p>
          <w:p w14:paraId="3652CA90" w14:textId="77777777" w:rsidR="007A0CF3" w:rsidRDefault="007A0CF3" w:rsidP="00CA1485">
            <w:pPr>
              <w:jc w:val="both"/>
              <w:textAlignment w:val="baseline"/>
              <w:rPr>
                <w:rFonts w:ascii="Calibri" w:eastAsia="Times New Roman" w:hAnsi="Calibri" w:cs="Times New Roman"/>
                <w:bCs/>
                <w:color w:val="000000"/>
                <w:lang w:eastAsia="es-CL"/>
              </w:rPr>
            </w:pPr>
          </w:p>
        </w:tc>
      </w:tr>
      <w:tr w:rsidR="007A0CF3" w14:paraId="6BB114B4" w14:textId="77777777" w:rsidTr="00CA1485">
        <w:trPr>
          <w:trHeight w:val="798"/>
          <w:jc w:val="center"/>
        </w:trPr>
        <w:tc>
          <w:tcPr>
            <w:tcW w:w="1696" w:type="dxa"/>
            <w:tcBorders>
              <w:top w:val="single" w:sz="4" w:space="0" w:color="auto"/>
              <w:left w:val="single" w:sz="4" w:space="0" w:color="auto"/>
              <w:bottom w:val="single" w:sz="4" w:space="0" w:color="auto"/>
              <w:right w:val="single" w:sz="4" w:space="0" w:color="auto"/>
            </w:tcBorders>
          </w:tcPr>
          <w:p w14:paraId="10082E76" w14:textId="77777777" w:rsidR="007A0CF3" w:rsidRDefault="007A0CF3" w:rsidP="00CA1485">
            <w:pPr>
              <w:jc w:val="both"/>
              <w:textAlignment w:val="baseline"/>
              <w:rPr>
                <w:rFonts w:ascii="Calibri" w:eastAsia="Times New Roman" w:hAnsi="Calibri" w:cs="Times New Roman"/>
                <w:bCs/>
                <w:color w:val="000000"/>
                <w:lang w:eastAsia="es-CL"/>
              </w:rPr>
            </w:pPr>
          </w:p>
        </w:tc>
        <w:tc>
          <w:tcPr>
            <w:tcW w:w="1985" w:type="dxa"/>
            <w:tcBorders>
              <w:top w:val="single" w:sz="4" w:space="0" w:color="auto"/>
              <w:left w:val="single" w:sz="4" w:space="0" w:color="auto"/>
              <w:bottom w:val="single" w:sz="4" w:space="0" w:color="auto"/>
              <w:right w:val="single" w:sz="4" w:space="0" w:color="auto"/>
            </w:tcBorders>
          </w:tcPr>
          <w:p w14:paraId="24EB2CE0" w14:textId="77777777" w:rsidR="007A0CF3" w:rsidRDefault="007A0CF3" w:rsidP="00CA1485">
            <w:pPr>
              <w:jc w:val="both"/>
              <w:textAlignment w:val="baseline"/>
              <w:rPr>
                <w:rFonts w:ascii="Calibri" w:eastAsia="Times New Roman" w:hAnsi="Calibri" w:cs="Times New Roman"/>
                <w:bCs/>
                <w:color w:val="000000"/>
                <w:lang w:eastAsia="es-CL"/>
              </w:rPr>
            </w:pPr>
          </w:p>
        </w:tc>
        <w:tc>
          <w:tcPr>
            <w:tcW w:w="1984" w:type="dxa"/>
            <w:tcBorders>
              <w:top w:val="single" w:sz="4" w:space="0" w:color="auto"/>
              <w:left w:val="single" w:sz="4" w:space="0" w:color="auto"/>
              <w:bottom w:val="single" w:sz="4" w:space="0" w:color="auto"/>
              <w:right w:val="single" w:sz="4" w:space="0" w:color="auto"/>
            </w:tcBorders>
          </w:tcPr>
          <w:p w14:paraId="6D255634" w14:textId="77777777" w:rsidR="007A0CF3" w:rsidRDefault="007A0CF3" w:rsidP="00CA1485">
            <w:pPr>
              <w:jc w:val="both"/>
              <w:textAlignment w:val="baseline"/>
              <w:rPr>
                <w:rFonts w:ascii="Calibri" w:eastAsia="Times New Roman" w:hAnsi="Calibri" w:cs="Times New Roman"/>
                <w:bCs/>
                <w:color w:val="000000"/>
                <w:lang w:eastAsia="es-CL"/>
              </w:rPr>
            </w:pPr>
          </w:p>
        </w:tc>
        <w:tc>
          <w:tcPr>
            <w:tcW w:w="2835" w:type="dxa"/>
            <w:tcBorders>
              <w:top w:val="single" w:sz="4" w:space="0" w:color="auto"/>
              <w:left w:val="single" w:sz="4" w:space="0" w:color="auto"/>
              <w:bottom w:val="single" w:sz="4" w:space="0" w:color="auto"/>
              <w:right w:val="single" w:sz="4" w:space="0" w:color="auto"/>
            </w:tcBorders>
          </w:tcPr>
          <w:p w14:paraId="4C68F802" w14:textId="77777777" w:rsidR="007A0CF3" w:rsidRDefault="007A0CF3" w:rsidP="00CA1485">
            <w:pPr>
              <w:jc w:val="both"/>
              <w:textAlignment w:val="baseline"/>
              <w:rPr>
                <w:rFonts w:ascii="Calibri" w:eastAsia="Times New Roman" w:hAnsi="Calibri" w:cs="Times New Roman"/>
                <w:bCs/>
                <w:color w:val="000000"/>
                <w:lang w:eastAsia="es-CL"/>
              </w:rPr>
            </w:pPr>
          </w:p>
        </w:tc>
        <w:tc>
          <w:tcPr>
            <w:tcW w:w="3828" w:type="dxa"/>
            <w:tcBorders>
              <w:top w:val="single" w:sz="4" w:space="0" w:color="auto"/>
              <w:left w:val="single" w:sz="4" w:space="0" w:color="auto"/>
              <w:bottom w:val="single" w:sz="4" w:space="0" w:color="auto"/>
              <w:right w:val="single" w:sz="4" w:space="0" w:color="auto"/>
            </w:tcBorders>
          </w:tcPr>
          <w:p w14:paraId="71FF4CF3" w14:textId="77777777" w:rsidR="007A0CF3" w:rsidRDefault="007A0CF3" w:rsidP="00CA1485">
            <w:pPr>
              <w:jc w:val="both"/>
              <w:textAlignment w:val="baseline"/>
              <w:rPr>
                <w:rFonts w:ascii="Calibri" w:eastAsia="Times New Roman" w:hAnsi="Calibri" w:cs="Times New Roman"/>
                <w:bCs/>
                <w:color w:val="000000"/>
                <w:lang w:eastAsia="es-CL"/>
              </w:rPr>
            </w:pPr>
          </w:p>
          <w:p w14:paraId="6A37F984" w14:textId="77777777" w:rsidR="007A0CF3" w:rsidRDefault="007A0CF3" w:rsidP="00CA1485">
            <w:pPr>
              <w:jc w:val="both"/>
              <w:textAlignment w:val="baseline"/>
              <w:rPr>
                <w:rFonts w:ascii="Calibri" w:eastAsia="Times New Roman" w:hAnsi="Calibri" w:cs="Times New Roman"/>
                <w:bCs/>
                <w:color w:val="000000"/>
                <w:lang w:eastAsia="es-CL"/>
              </w:rPr>
            </w:pPr>
          </w:p>
          <w:p w14:paraId="006C24E2" w14:textId="77777777" w:rsidR="007A0CF3" w:rsidRDefault="007A0CF3" w:rsidP="00CA1485">
            <w:pPr>
              <w:jc w:val="both"/>
              <w:textAlignment w:val="baseline"/>
              <w:rPr>
                <w:rFonts w:ascii="Calibri" w:eastAsia="Times New Roman" w:hAnsi="Calibri" w:cs="Times New Roman"/>
                <w:bCs/>
                <w:color w:val="000000"/>
                <w:lang w:eastAsia="es-CL"/>
              </w:rPr>
            </w:pPr>
          </w:p>
          <w:p w14:paraId="4FCFA31B" w14:textId="77777777" w:rsidR="007A0CF3" w:rsidRDefault="007A0CF3" w:rsidP="00CA1485">
            <w:pPr>
              <w:jc w:val="both"/>
              <w:textAlignment w:val="baseline"/>
              <w:rPr>
                <w:rFonts w:ascii="Calibri" w:eastAsia="Times New Roman" w:hAnsi="Calibri" w:cs="Times New Roman"/>
                <w:bCs/>
                <w:color w:val="000000"/>
                <w:lang w:eastAsia="es-CL"/>
              </w:rPr>
            </w:pPr>
          </w:p>
        </w:tc>
      </w:tr>
    </w:tbl>
    <w:p w14:paraId="71CB61B0" w14:textId="77777777" w:rsidR="007A0CF3" w:rsidRPr="00E02577" w:rsidRDefault="007A0CF3" w:rsidP="00E02577">
      <w:pPr>
        <w:spacing w:before="240"/>
        <w:jc w:val="both"/>
        <w:rPr>
          <w:sz w:val="24"/>
          <w:szCs w:val="24"/>
        </w:rPr>
      </w:pPr>
    </w:p>
    <w:sectPr w:rsidR="007A0CF3" w:rsidRPr="00E02577" w:rsidSect="007A0CF3">
      <w:pgSz w:w="15840" w:h="12240" w:orient="landscape"/>
      <w:pgMar w:top="1701" w:right="709" w:bottom="1701" w:left="709"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6D76D" w14:textId="77777777" w:rsidR="00210971" w:rsidRDefault="00210971" w:rsidP="00E02577">
      <w:pPr>
        <w:spacing w:after="0" w:line="240" w:lineRule="auto"/>
      </w:pPr>
      <w:r>
        <w:separator/>
      </w:r>
    </w:p>
  </w:endnote>
  <w:endnote w:type="continuationSeparator" w:id="0">
    <w:p w14:paraId="7B7EBDA6" w14:textId="77777777" w:rsidR="00210971" w:rsidRDefault="00210971" w:rsidP="00E02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E3885" w14:textId="77777777" w:rsidR="00210971" w:rsidRDefault="00210971" w:rsidP="00E02577">
      <w:pPr>
        <w:spacing w:after="0" w:line="240" w:lineRule="auto"/>
      </w:pPr>
      <w:r>
        <w:separator/>
      </w:r>
    </w:p>
  </w:footnote>
  <w:footnote w:type="continuationSeparator" w:id="0">
    <w:p w14:paraId="1A04589E" w14:textId="77777777" w:rsidR="00210971" w:rsidRDefault="00210971" w:rsidP="00E02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D0A1" w14:textId="77777777" w:rsidR="007A0CF3" w:rsidRDefault="007A0CF3" w:rsidP="00693823">
    <w:pPr>
      <w:pStyle w:val="HeaderEven"/>
      <w:ind w:left="993"/>
      <w:rPr>
        <w:szCs w:val="20"/>
      </w:rPr>
    </w:pPr>
    <w:r w:rsidRPr="00625DAC">
      <w:rPr>
        <w:rFonts w:ascii="Times" w:eastAsia="Times New Roman" w:hAnsi="Times" w:cs="Times New Roman"/>
        <w:b w:val="0"/>
        <w:bCs w:val="0"/>
        <w:i/>
        <w:iCs/>
        <w:noProof/>
        <w:color w:val="auto"/>
        <w:sz w:val="16"/>
        <w:lang w:val="es-CL" w:eastAsia="es-CL"/>
      </w:rPr>
      <w:drawing>
        <wp:anchor distT="0" distB="0" distL="114300" distR="114300" simplePos="0" relativeHeight="251659264" behindDoc="0" locked="0" layoutInCell="1" allowOverlap="1" wp14:anchorId="044BADEC" wp14:editId="665BDC45">
          <wp:simplePos x="0" y="0"/>
          <wp:positionH relativeFrom="column">
            <wp:posOffset>635</wp:posOffset>
          </wp:positionH>
          <wp:positionV relativeFrom="paragraph">
            <wp:posOffset>-50165</wp:posOffset>
          </wp:positionV>
          <wp:extent cx="441960" cy="400050"/>
          <wp:effectExtent l="0" t="0" r="0" b="0"/>
          <wp:wrapSquare wrapText="bothSides"/>
          <wp:docPr id="1" name="Imagen 30" descr="C:\Mis Datos\SUSESO\Logo_2011\suseso 12x13 cm 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Mis Datos\SUSESO\Logo_2011\suseso 12x13 cm 150dpi.jpg"/>
                  <pic:cNvPicPr>
                    <a:picLocks noChangeAspect="1" noChangeArrowheads="1"/>
                  </pic:cNvPicPr>
                </pic:nvPicPr>
                <pic:blipFill>
                  <a:blip r:embed="rId1" cstate="print"/>
                  <a:srcRect/>
                  <a:stretch>
                    <a:fillRect/>
                  </a:stretch>
                </pic:blipFill>
                <pic:spPr bwMode="auto">
                  <a:xfrm>
                    <a:off x="0" y="0"/>
                    <a:ext cx="44196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Cs w:val="20"/>
      </w:rPr>
      <w:t>Superintendencia de Seguridad Social</w:t>
    </w:r>
  </w:p>
  <w:p w14:paraId="3CD4A0E2" w14:textId="77777777" w:rsidR="007A0CF3" w:rsidRPr="00693823" w:rsidRDefault="007A0CF3" w:rsidP="00693823">
    <w:pPr>
      <w:pStyle w:val="HeaderEven"/>
      <w:ind w:left="993"/>
      <w:rPr>
        <w:szCs w:val="20"/>
      </w:rPr>
    </w:pPr>
    <w:r>
      <w:rPr>
        <w:szCs w:val="20"/>
      </w:rPr>
      <w:t>Intendencia de Seguridad y Salud en el Trabajo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7"/>
    <w:rsid w:val="0007107D"/>
    <w:rsid w:val="00072FD5"/>
    <w:rsid w:val="000734D9"/>
    <w:rsid w:val="00080425"/>
    <w:rsid w:val="0011575F"/>
    <w:rsid w:val="00116F84"/>
    <w:rsid w:val="00156B6A"/>
    <w:rsid w:val="00194731"/>
    <w:rsid w:val="001B502E"/>
    <w:rsid w:val="001F0EE1"/>
    <w:rsid w:val="00210971"/>
    <w:rsid w:val="00237BCC"/>
    <w:rsid w:val="00240241"/>
    <w:rsid w:val="002509E4"/>
    <w:rsid w:val="0026357C"/>
    <w:rsid w:val="002B7F68"/>
    <w:rsid w:val="002C50D4"/>
    <w:rsid w:val="002F6DD6"/>
    <w:rsid w:val="003278FF"/>
    <w:rsid w:val="00345CAE"/>
    <w:rsid w:val="0038763C"/>
    <w:rsid w:val="003A13E4"/>
    <w:rsid w:val="003A1ED5"/>
    <w:rsid w:val="003B2196"/>
    <w:rsid w:val="003E46FA"/>
    <w:rsid w:val="003F5CF9"/>
    <w:rsid w:val="004139BF"/>
    <w:rsid w:val="00420057"/>
    <w:rsid w:val="004464DE"/>
    <w:rsid w:val="004704B8"/>
    <w:rsid w:val="00483257"/>
    <w:rsid w:val="004C7FAB"/>
    <w:rsid w:val="004F1B1A"/>
    <w:rsid w:val="005407DB"/>
    <w:rsid w:val="00544323"/>
    <w:rsid w:val="005514E8"/>
    <w:rsid w:val="00557442"/>
    <w:rsid w:val="00570308"/>
    <w:rsid w:val="005D13BA"/>
    <w:rsid w:val="005E0542"/>
    <w:rsid w:val="00661999"/>
    <w:rsid w:val="00690834"/>
    <w:rsid w:val="00697659"/>
    <w:rsid w:val="006C235F"/>
    <w:rsid w:val="006C6E8D"/>
    <w:rsid w:val="00706E02"/>
    <w:rsid w:val="00722101"/>
    <w:rsid w:val="007A0CF3"/>
    <w:rsid w:val="007B1013"/>
    <w:rsid w:val="00846CF8"/>
    <w:rsid w:val="00853231"/>
    <w:rsid w:val="0086202D"/>
    <w:rsid w:val="00865BB4"/>
    <w:rsid w:val="008F0878"/>
    <w:rsid w:val="00945884"/>
    <w:rsid w:val="009B7978"/>
    <w:rsid w:val="00A17DA2"/>
    <w:rsid w:val="00A44F9C"/>
    <w:rsid w:val="00A62AA9"/>
    <w:rsid w:val="00A92A94"/>
    <w:rsid w:val="00AA2BDF"/>
    <w:rsid w:val="00AA6AAD"/>
    <w:rsid w:val="00B02606"/>
    <w:rsid w:val="00BD3CC4"/>
    <w:rsid w:val="00C14620"/>
    <w:rsid w:val="00CA1ED7"/>
    <w:rsid w:val="00D13FAD"/>
    <w:rsid w:val="00D30E66"/>
    <w:rsid w:val="00D62268"/>
    <w:rsid w:val="00D87E60"/>
    <w:rsid w:val="00DE06B9"/>
    <w:rsid w:val="00E02577"/>
    <w:rsid w:val="00E02AA1"/>
    <w:rsid w:val="00E64854"/>
    <w:rsid w:val="00E85079"/>
    <w:rsid w:val="00EB0224"/>
    <w:rsid w:val="00EE74E1"/>
    <w:rsid w:val="00EF3C68"/>
    <w:rsid w:val="00F662AE"/>
    <w:rsid w:val="00F6797A"/>
    <w:rsid w:val="00FE40F9"/>
    <w:rsid w:val="00FF23E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C56BB"/>
  <w15:docId w15:val="{92E5D728-EA15-4252-9D54-1E0F972A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viñeta,Bullet Number"/>
    <w:basedOn w:val="Normal"/>
    <w:link w:val="PrrafodelistaCar"/>
    <w:uiPriority w:val="34"/>
    <w:qFormat/>
    <w:rsid w:val="00661999"/>
    <w:pPr>
      <w:ind w:left="720"/>
      <w:contextualSpacing/>
    </w:pPr>
  </w:style>
  <w:style w:type="character" w:customStyle="1" w:styleId="PrrafodelistaCar">
    <w:name w:val="Párrafo de lista Car"/>
    <w:aliases w:val="viñeta Car,Bullet Number Car"/>
    <w:link w:val="Prrafodelista"/>
    <w:uiPriority w:val="34"/>
    <w:locked/>
    <w:rsid w:val="00661999"/>
  </w:style>
  <w:style w:type="paragraph" w:styleId="Encabezado">
    <w:name w:val="header"/>
    <w:basedOn w:val="Normal"/>
    <w:link w:val="EncabezadoCar"/>
    <w:uiPriority w:val="99"/>
    <w:unhideWhenUsed/>
    <w:rsid w:val="00E025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2577"/>
  </w:style>
  <w:style w:type="paragraph" w:styleId="Piedepgina">
    <w:name w:val="footer"/>
    <w:basedOn w:val="Normal"/>
    <w:link w:val="PiedepginaCar"/>
    <w:uiPriority w:val="99"/>
    <w:unhideWhenUsed/>
    <w:rsid w:val="00E025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2577"/>
  </w:style>
  <w:style w:type="paragraph" w:customStyle="1" w:styleId="HeaderEven">
    <w:name w:val="Header Even"/>
    <w:basedOn w:val="Sinespaciado"/>
    <w:qFormat/>
    <w:rsid w:val="007A0CF3"/>
    <w:pPr>
      <w:pBdr>
        <w:bottom w:val="single" w:sz="4" w:space="1" w:color="4F81BD" w:themeColor="accent1"/>
      </w:pBdr>
    </w:pPr>
    <w:rPr>
      <w:rFonts w:eastAsiaTheme="minorEastAsia"/>
      <w:b/>
      <w:bCs/>
      <w:color w:val="1F497D" w:themeColor="text2"/>
      <w:sz w:val="20"/>
      <w:szCs w:val="23"/>
      <w:lang w:val="es-ES" w:eastAsia="fr-FR"/>
    </w:rPr>
  </w:style>
  <w:style w:type="character" w:styleId="Hipervnculo">
    <w:name w:val="Hyperlink"/>
    <w:basedOn w:val="Fuentedeprrafopredeter"/>
    <w:uiPriority w:val="99"/>
    <w:unhideWhenUsed/>
    <w:rsid w:val="007A0CF3"/>
    <w:rPr>
      <w:color w:val="0000FF" w:themeColor="hyperlink"/>
      <w:u w:val="single"/>
    </w:rPr>
  </w:style>
  <w:style w:type="paragraph" w:styleId="Sinespaciado">
    <w:name w:val="No Spacing"/>
    <w:uiPriority w:val="1"/>
    <w:qFormat/>
    <w:rsid w:val="007A0CF3"/>
    <w:pPr>
      <w:spacing w:after="0" w:line="240" w:lineRule="auto"/>
    </w:pPr>
  </w:style>
  <w:style w:type="table" w:styleId="Tablaconcuadrcula">
    <w:name w:val="Table Grid"/>
    <w:basedOn w:val="Tablanormal"/>
    <w:uiPriority w:val="59"/>
    <w:rsid w:val="007A0C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sesat@suseso.c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693</Words>
  <Characters>3813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MCifuentes</dc:creator>
  <cp:lastModifiedBy>Valentina Nehgne</cp:lastModifiedBy>
  <cp:revision>2</cp:revision>
  <cp:lastPrinted>2019-06-10T15:23:00Z</cp:lastPrinted>
  <dcterms:created xsi:type="dcterms:W3CDTF">2021-07-20T21:50:00Z</dcterms:created>
  <dcterms:modified xsi:type="dcterms:W3CDTF">2021-07-20T21:50:00Z</dcterms:modified>
</cp:coreProperties>
</file>