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7EF8" w14:textId="74520F54" w:rsidR="001910DD" w:rsidRDefault="001910DD" w:rsidP="001910DD">
      <w:pPr>
        <w:spacing w:before="120" w:after="120"/>
        <w:jc w:val="center"/>
        <w:rPr>
          <w:b/>
          <w:bCs/>
        </w:rPr>
      </w:pPr>
      <w:r w:rsidRPr="004134A8">
        <w:rPr>
          <w:b/>
          <w:bCs/>
        </w:rPr>
        <w:t xml:space="preserve">PROYECTO DE CIRCULAR QUE IMPARTE INSTRUCCIONES A LAS MUTUALIDADES DE EMPLEADORES DEL SEGURO DE LA LEY </w:t>
      </w:r>
      <w:proofErr w:type="spellStart"/>
      <w:r w:rsidRPr="004134A8">
        <w:rPr>
          <w:b/>
          <w:bCs/>
        </w:rPr>
        <w:t>N°</w:t>
      </w:r>
      <w:proofErr w:type="spellEnd"/>
      <w:r w:rsidRPr="004134A8">
        <w:rPr>
          <w:b/>
          <w:bCs/>
        </w:rPr>
        <w:t xml:space="preserve"> 16.744, SOBRE LA GESTIÓN </w:t>
      </w:r>
      <w:r w:rsidR="001034AD" w:rsidRPr="004134A8">
        <w:rPr>
          <w:b/>
          <w:bCs/>
        </w:rPr>
        <w:t>DE LA CONTINUIDAD OPERACIONAL</w:t>
      </w:r>
    </w:p>
    <w:p w14:paraId="0B2303CD" w14:textId="77777777" w:rsidR="00DB2B11" w:rsidRPr="001034AD" w:rsidRDefault="00DB2B11" w:rsidP="001910DD">
      <w:pPr>
        <w:spacing w:before="120" w:after="120"/>
        <w:jc w:val="center"/>
        <w:rPr>
          <w:b/>
          <w:bCs/>
        </w:rPr>
      </w:pPr>
    </w:p>
    <w:p w14:paraId="78C5C6A2" w14:textId="77777777" w:rsidR="002D71EE" w:rsidRDefault="002D71EE" w:rsidP="002D71EE">
      <w:pPr>
        <w:spacing w:after="0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56622D2F" w14:textId="30CEE876" w:rsidR="002D71EE" w:rsidRDefault="002D71EE" w:rsidP="002D71EE">
      <w:pPr>
        <w:spacing w:after="0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  <w:r w:rsidRPr="004134A8">
        <w:rPr>
          <w:rFonts w:ascii="Calibri" w:eastAsia="Times New Roman" w:hAnsi="Calibri" w:cs="Times New Roman"/>
          <w:bCs/>
          <w:color w:val="000000"/>
          <w:lang w:eastAsia="es-CL"/>
        </w:rPr>
        <w:t xml:space="preserve">El presente proyecto de circular sobre la </w:t>
      </w:r>
      <w:r w:rsidR="00545850" w:rsidRPr="004134A8">
        <w:rPr>
          <w:rFonts w:ascii="Calibri" w:eastAsia="Times New Roman" w:hAnsi="Calibri" w:cs="Times New Roman"/>
          <w:bCs/>
          <w:color w:val="000000"/>
          <w:lang w:eastAsia="es-CL"/>
        </w:rPr>
        <w:t xml:space="preserve">gestión de la </w:t>
      </w:r>
      <w:r w:rsidRPr="004134A8">
        <w:rPr>
          <w:rFonts w:ascii="Calibri" w:eastAsia="Times New Roman" w:hAnsi="Calibri" w:cs="Times New Roman"/>
          <w:bCs/>
          <w:color w:val="000000"/>
          <w:lang w:eastAsia="es-CL"/>
        </w:rPr>
        <w:t>continuidad operacional de las mutualidades</w:t>
      </w:r>
      <w:r w:rsidRPr="002D71EE">
        <w:rPr>
          <w:rFonts w:ascii="Calibri" w:eastAsia="Times New Roman" w:hAnsi="Calibri" w:cs="Times New Roman"/>
          <w:bCs/>
          <w:color w:val="000000"/>
          <w:lang w:eastAsia="es-CL"/>
        </w:rPr>
        <w:t xml:space="preserve"> de empleadores,</w:t>
      </w:r>
      <w:r w:rsidR="009B1A44">
        <w:rPr>
          <w:rFonts w:ascii="Calibri" w:eastAsia="Times New Roman" w:hAnsi="Calibri" w:cs="Times New Roman"/>
          <w:bCs/>
          <w:color w:val="000000"/>
          <w:lang w:eastAsia="es-CL"/>
        </w:rPr>
        <w:t xml:space="preserve"> </w:t>
      </w:r>
      <w:r w:rsidR="005E42A0">
        <w:rPr>
          <w:rFonts w:ascii="Calibri" w:eastAsia="Times New Roman" w:hAnsi="Calibri" w:cs="Times New Roman"/>
          <w:bCs/>
          <w:color w:val="000000"/>
          <w:lang w:eastAsia="es-CL"/>
        </w:rPr>
        <w:t>modifica</w:t>
      </w:r>
      <w:r w:rsidR="00545850">
        <w:rPr>
          <w:rFonts w:ascii="Calibri" w:eastAsia="Times New Roman" w:hAnsi="Calibri" w:cs="Times New Roman"/>
          <w:bCs/>
          <w:color w:val="000000"/>
          <w:lang w:eastAsia="es-CL"/>
        </w:rPr>
        <w:t xml:space="preserve"> </w:t>
      </w:r>
      <w:r w:rsidR="004134A8">
        <w:rPr>
          <w:rFonts w:ascii="Calibri" w:eastAsia="Times New Roman" w:hAnsi="Calibri" w:cs="Times New Roman"/>
          <w:bCs/>
          <w:color w:val="000000"/>
          <w:lang w:eastAsia="es-CL"/>
        </w:rPr>
        <w:t xml:space="preserve">el </w:t>
      </w:r>
      <w:r w:rsidRPr="002D71EE">
        <w:rPr>
          <w:rFonts w:ascii="Calibri" w:eastAsia="Times New Roman" w:hAnsi="Calibri" w:cs="Times New Roman"/>
          <w:bCs/>
          <w:color w:val="000000"/>
          <w:lang w:eastAsia="es-CL"/>
        </w:rPr>
        <w:t xml:space="preserve">Título I. Gobiernos corporativos y </w:t>
      </w:r>
      <w:r w:rsidR="004134A8">
        <w:rPr>
          <w:rFonts w:ascii="Calibri" w:eastAsia="Times New Roman" w:hAnsi="Calibri" w:cs="Times New Roman"/>
          <w:bCs/>
          <w:color w:val="000000"/>
          <w:lang w:eastAsia="es-CL"/>
        </w:rPr>
        <w:t xml:space="preserve">el </w:t>
      </w:r>
      <w:r w:rsidRPr="002D71EE">
        <w:rPr>
          <w:rFonts w:ascii="Calibri" w:eastAsia="Times New Roman" w:hAnsi="Calibri" w:cs="Times New Roman"/>
          <w:bCs/>
          <w:color w:val="000000"/>
          <w:lang w:eastAsia="es-CL"/>
        </w:rPr>
        <w:t>Título IV. Gestión de riesgos financieros y operacionales</w:t>
      </w:r>
      <w:r w:rsidR="007F29C7">
        <w:rPr>
          <w:rFonts w:ascii="Calibri" w:eastAsia="Times New Roman" w:hAnsi="Calibri" w:cs="Times New Roman"/>
          <w:bCs/>
          <w:color w:val="000000"/>
          <w:lang w:eastAsia="es-CL"/>
        </w:rPr>
        <w:t xml:space="preserve"> </w:t>
      </w:r>
      <w:r w:rsidRPr="002D71EE">
        <w:rPr>
          <w:rFonts w:ascii="Calibri" w:eastAsia="Times New Roman" w:hAnsi="Calibri" w:cs="Times New Roman"/>
          <w:bCs/>
          <w:color w:val="000000"/>
          <w:lang w:eastAsia="es-CL"/>
        </w:rPr>
        <w:t>del Libro VII</w:t>
      </w:r>
      <w:r w:rsidR="005E42A0">
        <w:rPr>
          <w:rFonts w:ascii="Calibri" w:eastAsia="Times New Roman" w:hAnsi="Calibri" w:cs="Times New Roman"/>
          <w:bCs/>
          <w:color w:val="000000"/>
          <w:lang w:eastAsia="es-CL"/>
        </w:rPr>
        <w:t>,</w:t>
      </w:r>
      <w:r w:rsidR="007F29C7">
        <w:rPr>
          <w:rFonts w:ascii="Calibri" w:eastAsia="Times New Roman" w:hAnsi="Calibri" w:cs="Times New Roman"/>
          <w:bCs/>
          <w:color w:val="000000"/>
          <w:lang w:eastAsia="es-CL"/>
        </w:rPr>
        <w:t xml:space="preserve"> </w:t>
      </w:r>
      <w:r w:rsidRPr="002D71EE">
        <w:rPr>
          <w:rFonts w:ascii="Calibri" w:eastAsia="Times New Roman" w:hAnsi="Calibri" w:cs="Times New Roman"/>
          <w:bCs/>
          <w:color w:val="000000"/>
          <w:lang w:eastAsia="es-CL"/>
        </w:rPr>
        <w:t>el Título II. Gestión de reportes e información para la supervisión del Libro IX</w:t>
      </w:r>
      <w:r w:rsidR="007F29C7">
        <w:rPr>
          <w:rFonts w:ascii="Calibri" w:eastAsia="Times New Roman" w:hAnsi="Calibri" w:cs="Times New Roman"/>
          <w:bCs/>
          <w:color w:val="000000"/>
          <w:lang w:eastAsia="es-CL"/>
        </w:rPr>
        <w:t xml:space="preserve">, y </w:t>
      </w:r>
      <w:r w:rsidR="004134A8">
        <w:rPr>
          <w:rFonts w:ascii="Calibri" w:eastAsia="Times New Roman" w:hAnsi="Calibri" w:cs="Times New Roman"/>
          <w:bCs/>
          <w:color w:val="000000"/>
          <w:lang w:eastAsia="es-CL"/>
        </w:rPr>
        <w:t>el</w:t>
      </w:r>
      <w:r w:rsidRPr="002D71EE">
        <w:rPr>
          <w:rFonts w:ascii="Calibri" w:eastAsia="Times New Roman" w:hAnsi="Calibri" w:cs="Times New Roman"/>
          <w:bCs/>
          <w:color w:val="000000"/>
          <w:lang w:eastAsia="es-CL"/>
        </w:rPr>
        <w:t xml:space="preserve"> </w:t>
      </w:r>
      <w:r w:rsidR="004134A8" w:rsidRPr="002D71EE">
        <w:rPr>
          <w:rFonts w:ascii="Calibri" w:eastAsia="Times New Roman" w:hAnsi="Calibri" w:cs="Times New Roman"/>
          <w:bCs/>
          <w:color w:val="000000"/>
          <w:lang w:eastAsia="es-CL"/>
        </w:rPr>
        <w:t>Título II. Atenciones médicas del Libro V</w:t>
      </w:r>
      <w:r w:rsidR="004134A8">
        <w:rPr>
          <w:rFonts w:ascii="Calibri" w:eastAsia="Times New Roman" w:hAnsi="Calibri" w:cs="Times New Roman"/>
          <w:bCs/>
          <w:color w:val="000000"/>
          <w:lang w:eastAsia="es-CL"/>
        </w:rPr>
        <w:t>,</w:t>
      </w:r>
      <w:r w:rsidR="004134A8" w:rsidRPr="002D71EE">
        <w:rPr>
          <w:rFonts w:ascii="Calibri" w:eastAsia="Times New Roman" w:hAnsi="Calibri" w:cs="Times New Roman"/>
          <w:bCs/>
          <w:color w:val="000000"/>
          <w:lang w:eastAsia="es-CL"/>
        </w:rPr>
        <w:t xml:space="preserve"> </w:t>
      </w:r>
      <w:r w:rsidRPr="002D71EE">
        <w:rPr>
          <w:rFonts w:ascii="Calibri" w:eastAsia="Times New Roman" w:hAnsi="Calibri" w:cs="Times New Roman"/>
          <w:bCs/>
          <w:color w:val="000000"/>
          <w:lang w:eastAsia="es-CL"/>
        </w:rPr>
        <w:t>todos del Compendio de Normas del Seguro Social de Accidentes del Trabajo y Enfermedades Profesionales de la Ley N°16.744.</w:t>
      </w:r>
      <w:r w:rsidR="009B1A44" w:rsidRPr="009B1A44">
        <w:rPr>
          <w:rFonts w:ascii="Calibri" w:eastAsia="Times New Roman" w:hAnsi="Calibri" w:cs="Times New Roman"/>
          <w:bCs/>
          <w:color w:val="000000"/>
          <w:lang w:eastAsia="es-CL"/>
        </w:rPr>
        <w:t xml:space="preserve"> </w:t>
      </w:r>
    </w:p>
    <w:p w14:paraId="0F6C597D" w14:textId="77777777" w:rsidR="00351E18" w:rsidRPr="0030663E" w:rsidRDefault="00351E18" w:rsidP="002D71EE">
      <w:pPr>
        <w:spacing w:after="0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4AB1DC16" w14:textId="083580C6" w:rsidR="00701139" w:rsidRDefault="003D5352" w:rsidP="00701139">
      <w:pPr>
        <w:jc w:val="both"/>
        <w:rPr>
          <w:rFonts w:eastAsiaTheme="majorEastAsia" w:cstheme="minorHAnsi"/>
        </w:rPr>
      </w:pPr>
      <w:r w:rsidRPr="00981C6C">
        <w:t xml:space="preserve">Las modificaciones contenidas </w:t>
      </w:r>
      <w:r w:rsidR="00713B39">
        <w:t>en este proyecto</w:t>
      </w:r>
      <w:r w:rsidRPr="00981C6C">
        <w:t xml:space="preserve"> se enmarca</w:t>
      </w:r>
      <w:r w:rsidR="005E42A0">
        <w:t>n</w:t>
      </w:r>
      <w:r w:rsidRPr="00981C6C">
        <w:t xml:space="preserve"> en una visión de gestión integral de riesgos</w:t>
      </w:r>
      <w:r w:rsidR="00981C6C" w:rsidRPr="00981C6C">
        <w:t xml:space="preserve"> </w:t>
      </w:r>
      <w:r w:rsidRPr="00981C6C">
        <w:t>y tiene por f</w:t>
      </w:r>
      <w:r w:rsidR="004134A8" w:rsidRPr="00981C6C">
        <w:rPr>
          <w:rFonts w:eastAsiaTheme="majorEastAsia" w:cstheme="minorHAnsi"/>
        </w:rPr>
        <w:t xml:space="preserve">inalidad </w:t>
      </w:r>
      <w:r w:rsidR="00426B3D" w:rsidRPr="00981C6C">
        <w:rPr>
          <w:rFonts w:eastAsiaTheme="majorEastAsia" w:cstheme="minorHAnsi"/>
        </w:rPr>
        <w:t>instruir</w:t>
      </w:r>
      <w:r w:rsidR="007F29C7" w:rsidRPr="00981C6C">
        <w:rPr>
          <w:rFonts w:eastAsiaTheme="majorEastAsia" w:cstheme="minorHAnsi"/>
        </w:rPr>
        <w:t xml:space="preserve"> </w:t>
      </w:r>
      <w:r w:rsidR="004134A8" w:rsidRPr="00981C6C">
        <w:rPr>
          <w:rFonts w:eastAsiaTheme="majorEastAsia" w:cstheme="minorHAnsi"/>
        </w:rPr>
        <w:t xml:space="preserve">la implementación de </w:t>
      </w:r>
      <w:r w:rsidR="007F29C7" w:rsidRPr="00981C6C">
        <w:rPr>
          <w:rFonts w:eastAsiaTheme="majorEastAsia" w:cstheme="minorHAnsi"/>
        </w:rPr>
        <w:t xml:space="preserve">un </w:t>
      </w:r>
      <w:r w:rsidR="004134A8" w:rsidRPr="00981C6C">
        <w:rPr>
          <w:rFonts w:eastAsiaTheme="majorEastAsia" w:cstheme="minorHAnsi"/>
        </w:rPr>
        <w:t>sistema de gestión de la continuidad operacional,</w:t>
      </w:r>
      <w:r w:rsidR="007F29C7" w:rsidRPr="00981C6C">
        <w:rPr>
          <w:rFonts w:eastAsiaTheme="majorEastAsia" w:cstheme="minorHAnsi"/>
        </w:rPr>
        <w:t xml:space="preserve"> </w:t>
      </w:r>
      <w:r w:rsidR="00981C6C" w:rsidRPr="00981C6C">
        <w:t>situándola como parte fundamental del sistema de gestión integral de riesgos</w:t>
      </w:r>
      <w:r w:rsidR="00AB42D9">
        <w:t xml:space="preserve">; </w:t>
      </w:r>
      <w:r w:rsidR="00981C6C" w:rsidRPr="00981C6C">
        <w:t xml:space="preserve">estableciendo </w:t>
      </w:r>
      <w:r w:rsidR="00701139" w:rsidRPr="00981C6C">
        <w:rPr>
          <w:rFonts w:eastAsiaTheme="majorEastAsia" w:cstheme="minorHAnsi"/>
        </w:rPr>
        <w:t>planes de continuidad operacional que permitan dar respuestas efectivas ante la ocurrencia de eventos que puedan crear una interrupción o inestabilidad en las operaciones</w:t>
      </w:r>
      <w:r w:rsidR="007F29C7" w:rsidRPr="00981C6C">
        <w:rPr>
          <w:rFonts w:eastAsiaTheme="majorEastAsia" w:cstheme="minorHAnsi"/>
        </w:rPr>
        <w:t xml:space="preserve">, </w:t>
      </w:r>
      <w:r w:rsidR="00701139" w:rsidRPr="00981C6C">
        <w:rPr>
          <w:rFonts w:eastAsiaTheme="majorEastAsia" w:cstheme="minorHAnsi"/>
        </w:rPr>
        <w:t>y permita</w:t>
      </w:r>
      <w:r w:rsidR="00801989" w:rsidRPr="00981C6C">
        <w:rPr>
          <w:rFonts w:eastAsiaTheme="majorEastAsia" w:cstheme="minorHAnsi"/>
        </w:rPr>
        <w:t>n</w:t>
      </w:r>
      <w:r w:rsidR="00701139" w:rsidRPr="00981C6C">
        <w:rPr>
          <w:rFonts w:eastAsiaTheme="majorEastAsia" w:cstheme="minorHAnsi"/>
        </w:rPr>
        <w:t xml:space="preserve"> continuar </w:t>
      </w:r>
      <w:r w:rsidR="00801989" w:rsidRPr="00981C6C">
        <w:rPr>
          <w:rFonts w:eastAsiaTheme="majorEastAsia" w:cstheme="minorHAnsi"/>
        </w:rPr>
        <w:t>con el otorgamiento de las prestaciones del Seguro de la Ley N°16.744</w:t>
      </w:r>
      <w:r w:rsidR="00701139" w:rsidRPr="00981C6C">
        <w:rPr>
          <w:rFonts w:eastAsiaTheme="majorEastAsia" w:cstheme="minorHAnsi"/>
        </w:rPr>
        <w:t>.</w:t>
      </w:r>
    </w:p>
    <w:p w14:paraId="2455235E" w14:textId="77777777" w:rsidR="007F29C7" w:rsidRDefault="009B1A44" w:rsidP="00701139">
      <w:pPr>
        <w:jc w:val="both"/>
        <w:rPr>
          <w:rFonts w:eastAsiaTheme="majorEastAsia"/>
        </w:rPr>
      </w:pPr>
      <w:r>
        <w:rPr>
          <w:rFonts w:eastAsiaTheme="majorEastAsia"/>
        </w:rPr>
        <w:t>Las principales modificaciones en el Libro VII, son</w:t>
      </w:r>
      <w:r w:rsidR="007F29C7">
        <w:rPr>
          <w:rFonts w:eastAsiaTheme="majorEastAsia"/>
        </w:rPr>
        <w:t xml:space="preserve"> las siguientes:</w:t>
      </w:r>
    </w:p>
    <w:p w14:paraId="713A8BC9" w14:textId="77777777" w:rsidR="007F29C7" w:rsidRPr="007F29C7" w:rsidRDefault="007F29C7" w:rsidP="00707D6F">
      <w:pPr>
        <w:pStyle w:val="Prrafodelista"/>
        <w:numPr>
          <w:ilvl w:val="0"/>
          <w:numId w:val="11"/>
        </w:numPr>
        <w:ind w:left="284" w:hanging="284"/>
        <w:jc w:val="both"/>
        <w:rPr>
          <w:rFonts w:eastAsiaTheme="majorEastAsia" w:cstheme="minorHAnsi"/>
        </w:rPr>
      </w:pPr>
      <w:r>
        <w:rPr>
          <w:rFonts w:eastAsiaTheme="majorEastAsia"/>
        </w:rPr>
        <w:t>S</w:t>
      </w:r>
      <w:r w:rsidR="00801989" w:rsidRPr="007F29C7">
        <w:rPr>
          <w:rFonts w:eastAsiaTheme="majorEastAsia"/>
        </w:rPr>
        <w:t>e incorpora la</w:t>
      </w:r>
      <w:r w:rsidR="009B1A44" w:rsidRPr="007F29C7">
        <w:rPr>
          <w:rFonts w:eastAsiaTheme="majorEastAsia"/>
        </w:rPr>
        <w:t xml:space="preserve"> implementa</w:t>
      </w:r>
      <w:r w:rsidR="00801989" w:rsidRPr="007F29C7">
        <w:rPr>
          <w:rFonts w:eastAsiaTheme="majorEastAsia"/>
        </w:rPr>
        <w:t>ción de</w:t>
      </w:r>
      <w:r w:rsidR="009B1A44" w:rsidRPr="007F29C7">
        <w:rPr>
          <w:rFonts w:eastAsiaTheme="majorEastAsia"/>
        </w:rPr>
        <w:t xml:space="preserve"> una política de continuidad operacional y se señalan los elementos que se sugiere debe contener</w:t>
      </w:r>
      <w:r w:rsidR="00981C6C">
        <w:rPr>
          <w:rFonts w:eastAsiaTheme="majorEastAsia"/>
        </w:rPr>
        <w:t>;</w:t>
      </w:r>
    </w:p>
    <w:p w14:paraId="6E119886" w14:textId="49535718" w:rsidR="007F29C7" w:rsidRDefault="007F29C7" w:rsidP="00707D6F">
      <w:pPr>
        <w:pStyle w:val="Prrafodelista"/>
        <w:numPr>
          <w:ilvl w:val="0"/>
          <w:numId w:val="11"/>
        </w:numPr>
        <w:ind w:left="284" w:hanging="284"/>
        <w:jc w:val="both"/>
        <w:rPr>
          <w:rFonts w:eastAsiaTheme="majorEastAsia" w:cstheme="minorHAnsi"/>
        </w:rPr>
      </w:pPr>
      <w:r>
        <w:rPr>
          <w:rFonts w:eastAsiaTheme="majorEastAsia"/>
        </w:rPr>
        <w:t>S</w:t>
      </w:r>
      <w:r w:rsidR="009B1A44" w:rsidRPr="007F29C7">
        <w:rPr>
          <w:rFonts w:eastAsiaTheme="majorEastAsia"/>
        </w:rPr>
        <w:t xml:space="preserve">e </w:t>
      </w:r>
      <w:r w:rsidR="004134D8" w:rsidRPr="007F29C7">
        <w:rPr>
          <w:rFonts w:eastAsiaTheme="majorEastAsia"/>
        </w:rPr>
        <w:t>incorporan</w:t>
      </w:r>
      <w:r w:rsidR="009B1A44" w:rsidRPr="007F29C7">
        <w:rPr>
          <w:rFonts w:eastAsiaTheme="majorEastAsia"/>
        </w:rPr>
        <w:t xml:space="preserve"> las definiciones de: “</w:t>
      </w:r>
      <w:r w:rsidR="009B1A44" w:rsidRPr="007F29C7">
        <w:rPr>
          <w:rFonts w:eastAsiaTheme="majorEastAsia" w:cstheme="minorHAnsi"/>
        </w:rPr>
        <w:t xml:space="preserve">Continuidad operacional”, </w:t>
      </w:r>
      <w:r w:rsidR="009B1A44" w:rsidRPr="007F29C7">
        <w:rPr>
          <w:rFonts w:eastAsiaTheme="majorEastAsia"/>
        </w:rPr>
        <w:t>“</w:t>
      </w:r>
      <w:r w:rsidR="009B1A44" w:rsidRPr="007F29C7">
        <w:rPr>
          <w:rFonts w:eastAsiaTheme="majorEastAsia" w:cstheme="minorHAnsi"/>
        </w:rPr>
        <w:t>Análisis de Impacto del Riesgo (</w:t>
      </w:r>
      <w:proofErr w:type="spellStart"/>
      <w:r w:rsidR="009B1A44" w:rsidRPr="007F29C7">
        <w:rPr>
          <w:rFonts w:eastAsiaTheme="majorEastAsia" w:cstheme="minorHAnsi"/>
        </w:rPr>
        <w:t>Risk</w:t>
      </w:r>
      <w:proofErr w:type="spellEnd"/>
      <w:r w:rsidR="009B1A44" w:rsidRPr="007F29C7">
        <w:rPr>
          <w:rFonts w:eastAsiaTheme="majorEastAsia" w:cstheme="minorHAnsi"/>
        </w:rPr>
        <w:t xml:space="preserve"> </w:t>
      </w:r>
      <w:proofErr w:type="spellStart"/>
      <w:r w:rsidR="009B1A44" w:rsidRPr="007F29C7">
        <w:rPr>
          <w:rFonts w:eastAsiaTheme="majorEastAsia" w:cstheme="minorHAnsi"/>
        </w:rPr>
        <w:t>Impact</w:t>
      </w:r>
      <w:proofErr w:type="spellEnd"/>
      <w:r w:rsidR="009B1A44" w:rsidRPr="007F29C7">
        <w:rPr>
          <w:rFonts w:eastAsiaTheme="majorEastAsia" w:cstheme="minorHAnsi"/>
        </w:rPr>
        <w:t xml:space="preserve"> </w:t>
      </w:r>
      <w:proofErr w:type="spellStart"/>
      <w:r w:rsidR="009B1A44" w:rsidRPr="007F29C7">
        <w:rPr>
          <w:rFonts w:eastAsiaTheme="majorEastAsia" w:cstheme="minorHAnsi"/>
        </w:rPr>
        <w:t>Analysis</w:t>
      </w:r>
      <w:proofErr w:type="spellEnd"/>
      <w:r w:rsidR="009B1A44" w:rsidRPr="007F29C7">
        <w:rPr>
          <w:rFonts w:eastAsiaTheme="majorEastAsia" w:cstheme="minorHAnsi"/>
        </w:rPr>
        <w:t xml:space="preserve"> o RIA)”</w:t>
      </w:r>
      <w:r w:rsidR="004134D8" w:rsidRPr="007F29C7">
        <w:rPr>
          <w:rFonts w:eastAsiaTheme="majorEastAsia" w:cstheme="minorHAnsi"/>
        </w:rPr>
        <w:t xml:space="preserve"> y</w:t>
      </w:r>
      <w:r w:rsidR="009B1A44" w:rsidRPr="007F29C7">
        <w:rPr>
          <w:rFonts w:eastAsiaTheme="majorEastAsia"/>
        </w:rPr>
        <w:t xml:space="preserve"> “</w:t>
      </w:r>
      <w:r w:rsidR="009B1A44" w:rsidRPr="007F29C7">
        <w:rPr>
          <w:rFonts w:eastAsiaTheme="majorEastAsia" w:cstheme="minorHAnsi"/>
        </w:rPr>
        <w:t xml:space="preserve">Análisis de Impacto al Negocio (Business </w:t>
      </w:r>
      <w:proofErr w:type="spellStart"/>
      <w:r w:rsidR="009B1A44" w:rsidRPr="007F29C7">
        <w:rPr>
          <w:rFonts w:eastAsiaTheme="majorEastAsia" w:cstheme="minorHAnsi"/>
        </w:rPr>
        <w:t>Impact</w:t>
      </w:r>
      <w:proofErr w:type="spellEnd"/>
      <w:r w:rsidR="009B1A44" w:rsidRPr="007F29C7">
        <w:rPr>
          <w:rFonts w:eastAsiaTheme="majorEastAsia" w:cstheme="minorHAnsi"/>
        </w:rPr>
        <w:t xml:space="preserve"> </w:t>
      </w:r>
      <w:proofErr w:type="spellStart"/>
      <w:r w:rsidR="009B1A44" w:rsidRPr="007F29C7">
        <w:rPr>
          <w:rFonts w:eastAsiaTheme="majorEastAsia" w:cstheme="minorHAnsi"/>
        </w:rPr>
        <w:t>Analysis</w:t>
      </w:r>
      <w:proofErr w:type="spellEnd"/>
      <w:r w:rsidR="009B1A44" w:rsidRPr="007F29C7">
        <w:rPr>
          <w:rFonts w:eastAsiaTheme="majorEastAsia" w:cstheme="minorHAnsi"/>
        </w:rPr>
        <w:t xml:space="preserve"> o BIA); </w:t>
      </w:r>
    </w:p>
    <w:p w14:paraId="34154C49" w14:textId="41DED7FE" w:rsidR="007F29C7" w:rsidRDefault="007F29C7" w:rsidP="00707D6F">
      <w:pPr>
        <w:pStyle w:val="Prrafodelista"/>
        <w:numPr>
          <w:ilvl w:val="0"/>
          <w:numId w:val="11"/>
        </w:numPr>
        <w:ind w:left="284" w:hanging="284"/>
        <w:jc w:val="both"/>
        <w:rPr>
          <w:rFonts w:eastAsiaTheme="majorEastAsia" w:cstheme="minorHAnsi"/>
        </w:rPr>
      </w:pPr>
      <w:r>
        <w:rPr>
          <w:rFonts w:eastAsiaTheme="majorEastAsia" w:cstheme="majorBidi"/>
          <w:bCs/>
          <w:lang w:eastAsia="es-CL"/>
        </w:rPr>
        <w:t>S</w:t>
      </w:r>
      <w:r w:rsidR="009B1A44" w:rsidRPr="007F29C7">
        <w:rPr>
          <w:rFonts w:eastAsiaTheme="majorEastAsia" w:cstheme="majorBidi"/>
          <w:bCs/>
          <w:lang w:eastAsia="es-CL"/>
        </w:rPr>
        <w:t>e elimina el</w:t>
      </w:r>
      <w:r w:rsidR="00545850" w:rsidRPr="007F29C7">
        <w:rPr>
          <w:rFonts w:eastAsiaTheme="majorEastAsia" w:cstheme="minorHAnsi"/>
        </w:rPr>
        <w:t xml:space="preserve"> número 4.</w:t>
      </w:r>
      <w:r w:rsidR="00545850" w:rsidRPr="00752F91">
        <w:t xml:space="preserve"> </w:t>
      </w:r>
      <w:r w:rsidR="00227992">
        <w:t>“</w:t>
      </w:r>
      <w:r w:rsidR="00545850" w:rsidRPr="007F29C7">
        <w:rPr>
          <w:rFonts w:eastAsiaTheme="majorEastAsia" w:cstheme="minorHAnsi"/>
        </w:rPr>
        <w:t>Planes de contingencia para asegurar capacidad operativa continua de la mutualidad</w:t>
      </w:r>
      <w:r w:rsidR="00227992">
        <w:rPr>
          <w:rFonts w:eastAsiaTheme="majorEastAsia" w:cstheme="minorHAnsi"/>
        </w:rPr>
        <w:t>”</w:t>
      </w:r>
      <w:r w:rsidR="009B1A44" w:rsidRPr="007F29C7">
        <w:rPr>
          <w:rFonts w:eastAsiaTheme="majorEastAsia" w:cstheme="minorHAnsi"/>
        </w:rPr>
        <w:t xml:space="preserve">, y </w:t>
      </w:r>
    </w:p>
    <w:p w14:paraId="301C4CE2" w14:textId="1D11087D" w:rsidR="00701139" w:rsidRPr="007F29C7" w:rsidRDefault="007F29C7" w:rsidP="00707D6F">
      <w:pPr>
        <w:pStyle w:val="Prrafodelista"/>
        <w:numPr>
          <w:ilvl w:val="0"/>
          <w:numId w:val="11"/>
        </w:numPr>
        <w:ind w:left="284" w:hanging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>S</w:t>
      </w:r>
      <w:r w:rsidR="009B1A44" w:rsidRPr="007F29C7">
        <w:rPr>
          <w:rFonts w:eastAsiaTheme="majorEastAsia" w:cstheme="minorHAnsi"/>
        </w:rPr>
        <w:t xml:space="preserve">e incorpora el </w:t>
      </w:r>
      <w:r w:rsidR="00545850" w:rsidRPr="007F29C7">
        <w:rPr>
          <w:rFonts w:eastAsiaTheme="majorEastAsia" w:cstheme="minorHAnsi"/>
        </w:rPr>
        <w:t>Capítulo VI. Gestión de la Continuidad Operacional</w:t>
      </w:r>
      <w:r w:rsidR="004134D8" w:rsidRPr="007F29C7">
        <w:rPr>
          <w:rFonts w:eastAsiaTheme="majorEastAsia" w:cstheme="minorHAnsi"/>
        </w:rPr>
        <w:t xml:space="preserve"> (Letra B, </w:t>
      </w:r>
      <w:r w:rsidR="004134D8" w:rsidRPr="007F29C7">
        <w:rPr>
          <w:rFonts w:eastAsiaTheme="majorEastAsia" w:cstheme="majorBidi"/>
          <w:bCs/>
          <w:lang w:eastAsia="es-CL"/>
        </w:rPr>
        <w:t>del</w:t>
      </w:r>
      <w:r w:rsidR="004134D8" w:rsidRPr="007F29C7">
        <w:rPr>
          <w:rFonts w:eastAsiaTheme="majorEastAsia" w:cstheme="minorHAnsi"/>
        </w:rPr>
        <w:t xml:space="preserve"> Título IV)</w:t>
      </w:r>
      <w:r w:rsidR="00981C6C">
        <w:rPr>
          <w:rFonts w:eastAsiaTheme="majorEastAsia" w:cstheme="minorHAnsi"/>
        </w:rPr>
        <w:t>.</w:t>
      </w:r>
    </w:p>
    <w:p w14:paraId="48BE5510" w14:textId="3E724546" w:rsidR="00701139" w:rsidRPr="00701139" w:rsidRDefault="004134D8" w:rsidP="00701139">
      <w:pPr>
        <w:jc w:val="both"/>
        <w:rPr>
          <w:rFonts w:eastAsiaTheme="majorEastAsia" w:cstheme="minorHAnsi"/>
        </w:rPr>
      </w:pPr>
      <w:r w:rsidRPr="00701139">
        <w:rPr>
          <w:rFonts w:eastAsiaTheme="majorEastAsia" w:cstheme="minorHAnsi"/>
        </w:rPr>
        <w:t>En el nuevo Capítulo VI. Gestión de la Continuidad Operacional se instruye la implementación de un sistema de gestión de la continuidad operacional</w:t>
      </w:r>
      <w:r w:rsidR="00701139" w:rsidRPr="00701139">
        <w:rPr>
          <w:rFonts w:eastAsiaTheme="majorEastAsia" w:cstheme="minorHAnsi"/>
        </w:rPr>
        <w:t xml:space="preserve"> </w:t>
      </w:r>
      <w:r w:rsidR="006922DB">
        <w:rPr>
          <w:rFonts w:eastAsiaTheme="majorEastAsia" w:cstheme="minorHAnsi"/>
        </w:rPr>
        <w:t xml:space="preserve">y se señalan </w:t>
      </w:r>
      <w:r w:rsidR="00701139">
        <w:rPr>
          <w:rFonts w:eastAsiaTheme="majorEastAsia" w:cstheme="minorHAnsi"/>
        </w:rPr>
        <w:t>las</w:t>
      </w:r>
      <w:r w:rsidR="00701139" w:rsidRPr="00701139">
        <w:rPr>
          <w:rFonts w:eastAsiaTheme="majorEastAsia" w:cstheme="minorHAnsi"/>
        </w:rPr>
        <w:t xml:space="preserve"> definiciones</w:t>
      </w:r>
      <w:r w:rsidR="006922DB">
        <w:rPr>
          <w:rFonts w:eastAsiaTheme="majorEastAsia" w:cstheme="minorHAnsi"/>
        </w:rPr>
        <w:t>,</w:t>
      </w:r>
      <w:r w:rsidR="00701139" w:rsidRPr="00701139">
        <w:rPr>
          <w:rFonts w:eastAsiaTheme="majorEastAsia" w:cstheme="minorHAnsi"/>
        </w:rPr>
        <w:t xml:space="preserve"> actividades</w:t>
      </w:r>
      <w:r w:rsidR="006922DB">
        <w:rPr>
          <w:rFonts w:eastAsiaTheme="majorEastAsia" w:cstheme="minorHAnsi"/>
        </w:rPr>
        <w:t xml:space="preserve"> y/o elementos</w:t>
      </w:r>
      <w:r w:rsidR="00701139" w:rsidRPr="00701139">
        <w:rPr>
          <w:rFonts w:eastAsiaTheme="majorEastAsia" w:cstheme="minorHAnsi"/>
        </w:rPr>
        <w:t xml:space="preserve"> en relación </w:t>
      </w:r>
      <w:r w:rsidR="00701139">
        <w:rPr>
          <w:rFonts w:eastAsiaTheme="majorEastAsia" w:cstheme="minorHAnsi"/>
        </w:rPr>
        <w:t>con:</w:t>
      </w:r>
      <w:r w:rsidR="00701139" w:rsidRPr="00701139">
        <w:rPr>
          <w:rFonts w:eastAsiaTheme="majorEastAsia" w:cstheme="minorHAnsi"/>
        </w:rPr>
        <w:t xml:space="preserve"> la Identificación y análisis del entorno operativo</w:t>
      </w:r>
      <w:r w:rsidR="00ED0ECD">
        <w:rPr>
          <w:rFonts w:eastAsiaTheme="majorEastAsia" w:cstheme="minorHAnsi"/>
        </w:rPr>
        <w:t>; establecimiento de</w:t>
      </w:r>
      <w:r w:rsidR="00701139" w:rsidRPr="00701139">
        <w:rPr>
          <w:rFonts w:eastAsiaTheme="majorEastAsia" w:cstheme="minorHAnsi"/>
        </w:rPr>
        <w:t xml:space="preserve"> Planes de Continuidad Operacional</w:t>
      </w:r>
      <w:r w:rsidR="00ED0ECD">
        <w:rPr>
          <w:rFonts w:eastAsiaTheme="majorEastAsia" w:cstheme="minorHAnsi"/>
        </w:rPr>
        <w:t>;</w:t>
      </w:r>
      <w:r w:rsidR="00701139" w:rsidRPr="00701139">
        <w:rPr>
          <w:rFonts w:eastAsiaTheme="majorEastAsia" w:cstheme="minorHAnsi"/>
        </w:rPr>
        <w:t xml:space="preserve"> </w:t>
      </w:r>
      <w:r w:rsidR="00ED0ECD">
        <w:rPr>
          <w:rFonts w:eastAsiaTheme="majorEastAsia" w:cstheme="minorHAnsi"/>
        </w:rPr>
        <w:t xml:space="preserve">realización de </w:t>
      </w:r>
      <w:r w:rsidR="00701139" w:rsidRPr="00701139">
        <w:rPr>
          <w:rFonts w:eastAsiaTheme="majorEastAsia" w:cstheme="minorHAnsi"/>
        </w:rPr>
        <w:t xml:space="preserve">pruebas de efectividad a </w:t>
      </w:r>
      <w:r w:rsidR="002C7B46">
        <w:rPr>
          <w:rFonts w:eastAsiaTheme="majorEastAsia" w:cstheme="minorHAnsi"/>
        </w:rPr>
        <w:t>estos planes</w:t>
      </w:r>
      <w:r w:rsidR="006922DB">
        <w:rPr>
          <w:rFonts w:eastAsiaTheme="majorEastAsia" w:cstheme="minorHAnsi"/>
        </w:rPr>
        <w:t xml:space="preserve"> </w:t>
      </w:r>
      <w:r w:rsidR="00ED0ECD">
        <w:rPr>
          <w:rFonts w:eastAsiaTheme="majorEastAsia" w:cstheme="minorHAnsi"/>
        </w:rPr>
        <w:t xml:space="preserve">y, finalmente, </w:t>
      </w:r>
      <w:r w:rsidR="006922DB">
        <w:rPr>
          <w:rFonts w:eastAsiaTheme="majorEastAsia" w:cstheme="minorHAnsi"/>
        </w:rPr>
        <w:t xml:space="preserve">la </w:t>
      </w:r>
      <w:r w:rsidR="00227992">
        <w:rPr>
          <w:rFonts w:eastAsiaTheme="majorEastAsia" w:cstheme="minorHAnsi"/>
        </w:rPr>
        <w:t>r</w:t>
      </w:r>
      <w:r w:rsidR="00701139" w:rsidRPr="00701139">
        <w:rPr>
          <w:rFonts w:eastAsiaTheme="majorEastAsia" w:cstheme="minorHAnsi"/>
        </w:rPr>
        <w:t>evisión y mejora continua</w:t>
      </w:r>
      <w:r w:rsidR="00ED0ECD">
        <w:rPr>
          <w:rFonts w:eastAsiaTheme="majorEastAsia" w:cstheme="minorHAnsi"/>
        </w:rPr>
        <w:t xml:space="preserve"> del sistema de gestión de la continuidad operacional</w:t>
      </w:r>
      <w:r w:rsidR="006922DB">
        <w:rPr>
          <w:rFonts w:eastAsiaTheme="majorEastAsia" w:cstheme="minorHAnsi"/>
        </w:rPr>
        <w:t>. Asimismo, se precisa la</w:t>
      </w:r>
      <w:r w:rsidR="00701139" w:rsidRPr="00701139">
        <w:rPr>
          <w:rFonts w:eastAsiaTheme="majorEastAsia" w:cstheme="minorHAnsi"/>
        </w:rPr>
        <w:t xml:space="preserve"> Información</w:t>
      </w:r>
      <w:r w:rsidR="006922DB">
        <w:rPr>
          <w:rFonts w:eastAsiaTheme="majorEastAsia" w:cstheme="minorHAnsi"/>
        </w:rPr>
        <w:t xml:space="preserve"> que en esta materia se deberá enviar</w:t>
      </w:r>
      <w:r w:rsidR="00701139" w:rsidRPr="00701139">
        <w:rPr>
          <w:rFonts w:eastAsiaTheme="majorEastAsia" w:cstheme="minorHAnsi"/>
        </w:rPr>
        <w:t xml:space="preserve"> a </w:t>
      </w:r>
      <w:r w:rsidR="006922DB">
        <w:rPr>
          <w:rFonts w:eastAsiaTheme="majorEastAsia" w:cstheme="minorHAnsi"/>
        </w:rPr>
        <w:t xml:space="preserve">esta </w:t>
      </w:r>
      <w:r w:rsidR="00701139" w:rsidRPr="00701139">
        <w:rPr>
          <w:rFonts w:eastAsiaTheme="majorEastAsia" w:cstheme="minorHAnsi"/>
        </w:rPr>
        <w:t>Superintendencia</w:t>
      </w:r>
      <w:r w:rsidR="006922DB">
        <w:rPr>
          <w:rFonts w:eastAsiaTheme="majorEastAsia" w:cstheme="minorHAnsi"/>
        </w:rPr>
        <w:t>.</w:t>
      </w:r>
    </w:p>
    <w:p w14:paraId="48D23448" w14:textId="77777777" w:rsidR="00701139" w:rsidRDefault="006922DB" w:rsidP="006922DB">
      <w:pPr>
        <w:spacing w:before="120" w:after="120" w:line="276" w:lineRule="auto"/>
        <w:jc w:val="both"/>
        <w:rPr>
          <w:rFonts w:cstheme="minorHAnsi"/>
        </w:rPr>
      </w:pPr>
      <w:r w:rsidRPr="006922DB">
        <w:rPr>
          <w:rFonts w:eastAsiaTheme="majorEastAsia" w:cstheme="minorHAnsi"/>
        </w:rPr>
        <w:t xml:space="preserve">En el Libro IX se incorporan modificaciones en el </w:t>
      </w:r>
      <w:r w:rsidR="00801989">
        <w:rPr>
          <w:rFonts w:eastAsiaTheme="majorEastAsia" w:cstheme="minorHAnsi"/>
        </w:rPr>
        <w:t xml:space="preserve">Sistema </w:t>
      </w:r>
      <w:r w:rsidRPr="006922DB">
        <w:rPr>
          <w:rFonts w:cstheme="minorHAnsi"/>
        </w:rPr>
        <w:t>GRIS, para la recepción de la información antes señalada.</w:t>
      </w:r>
    </w:p>
    <w:p w14:paraId="432C9675" w14:textId="77777777" w:rsidR="00701139" w:rsidRPr="00701139" w:rsidRDefault="006922DB" w:rsidP="004134A8">
      <w:pPr>
        <w:spacing w:before="120" w:after="120" w:line="276" w:lineRule="auto"/>
        <w:jc w:val="both"/>
        <w:rPr>
          <w:rFonts w:eastAsiaTheme="majorEastAsia" w:cstheme="minorHAnsi"/>
        </w:rPr>
      </w:pPr>
      <w:r>
        <w:rPr>
          <w:rFonts w:cstheme="minorHAnsi"/>
        </w:rPr>
        <w:t xml:space="preserve">Finalmente, </w:t>
      </w:r>
      <w:r w:rsidR="004134A8">
        <w:rPr>
          <w:rFonts w:eastAsiaTheme="majorEastAsia" w:cstheme="majorBidi"/>
          <w:bCs/>
          <w:lang w:eastAsia="es-CL"/>
        </w:rPr>
        <w:t xml:space="preserve">en el Libro V. Prestaciones Médicas, se precisa que el plan de contingencia </w:t>
      </w:r>
      <w:r w:rsidR="00801989">
        <w:rPr>
          <w:rFonts w:eastAsiaTheme="majorEastAsia" w:cstheme="majorBidi"/>
          <w:bCs/>
          <w:lang w:eastAsia="es-CL"/>
        </w:rPr>
        <w:t>d</w:t>
      </w:r>
      <w:r w:rsidR="004134A8">
        <w:rPr>
          <w:rFonts w:eastAsiaTheme="majorEastAsia" w:cstheme="majorBidi"/>
          <w:bCs/>
          <w:lang w:eastAsia="es-CL"/>
        </w:rPr>
        <w:t xml:space="preserve">el número 3, Letra C, Titulo II, </w:t>
      </w:r>
      <w:r w:rsidR="004134A8" w:rsidRPr="00A7093E">
        <w:rPr>
          <w:rFonts w:eastAsiaTheme="majorEastAsia" w:cstheme="majorBidi"/>
          <w:bCs/>
          <w:lang w:eastAsia="es-CL"/>
        </w:rPr>
        <w:t xml:space="preserve">debe ser consistente con lo señalado en el Capítulo VII. Gestión de la </w:t>
      </w:r>
      <w:r w:rsidR="00801989">
        <w:rPr>
          <w:rFonts w:eastAsiaTheme="majorEastAsia" w:cstheme="majorBidi"/>
          <w:bCs/>
          <w:lang w:eastAsia="es-CL"/>
        </w:rPr>
        <w:t>C</w:t>
      </w:r>
      <w:r w:rsidR="004134A8" w:rsidRPr="00A7093E">
        <w:rPr>
          <w:rFonts w:eastAsiaTheme="majorEastAsia" w:cstheme="majorBidi"/>
          <w:bCs/>
          <w:lang w:eastAsia="es-CL"/>
        </w:rPr>
        <w:t>ontinuidad operacional</w:t>
      </w:r>
      <w:r w:rsidR="004134A8">
        <w:rPr>
          <w:rFonts w:eastAsiaTheme="majorEastAsia" w:cstheme="majorBidi"/>
          <w:bCs/>
          <w:lang w:eastAsia="es-CL"/>
        </w:rPr>
        <w:t xml:space="preserve">. </w:t>
      </w:r>
    </w:p>
    <w:p w14:paraId="2094DA5A" w14:textId="77777777" w:rsidR="00701139" w:rsidRPr="00701139" w:rsidRDefault="00701139" w:rsidP="00701139">
      <w:pPr>
        <w:jc w:val="both"/>
        <w:rPr>
          <w:rFonts w:eastAsiaTheme="majorEastAsia" w:cstheme="minorHAnsi"/>
        </w:rPr>
      </w:pPr>
    </w:p>
    <w:p w14:paraId="0FCB5DF6" w14:textId="77777777" w:rsidR="004D3971" w:rsidRDefault="004D3971" w:rsidP="004D3971">
      <w:pPr>
        <w:jc w:val="both"/>
        <w:rPr>
          <w:lang w:val="es-ES"/>
        </w:rPr>
      </w:pPr>
      <w:r>
        <w:rPr>
          <w:lang w:val="es-ES"/>
        </w:rPr>
        <w:lastRenderedPageBreak/>
        <w:t xml:space="preserve">Para efectuar comentarios al presente proyecto de circular, se solicita enviar el archivo que se adjunta a continuación, al correo electrónico </w:t>
      </w:r>
      <w:hyperlink r:id="rId7" w:history="1">
        <w:r w:rsidRPr="00411FFE">
          <w:rPr>
            <w:rStyle w:val="Hipervnculo"/>
            <w:lang w:val="es-ES"/>
          </w:rPr>
          <w:t>isesa</w:t>
        </w:r>
        <w:r w:rsidRPr="00411FFE">
          <w:rPr>
            <w:rStyle w:val="Hipervnculo"/>
          </w:rPr>
          <w:t>t</w:t>
        </w:r>
        <w:r w:rsidRPr="00411FFE">
          <w:rPr>
            <w:rStyle w:val="Hipervnculo"/>
            <w:lang w:val="es-ES"/>
          </w:rPr>
          <w:t>@suseso.cl</w:t>
        </w:r>
      </w:hyperlink>
      <w:r>
        <w:rPr>
          <w:lang w:val="es-ES"/>
        </w:rPr>
        <w:t>.</w:t>
      </w:r>
    </w:p>
    <w:p w14:paraId="07E0647D" w14:textId="77777777" w:rsidR="004D3971" w:rsidRPr="004D3971" w:rsidRDefault="004D3971" w:rsidP="004D3971">
      <w:pPr>
        <w:spacing w:before="120" w:after="120"/>
        <w:jc w:val="both"/>
        <w:rPr>
          <w:lang w:val="es-ES"/>
        </w:rPr>
      </w:pPr>
    </w:p>
    <w:p w14:paraId="467BB2C7" w14:textId="77777777" w:rsidR="00B64BF5" w:rsidRDefault="00B64BF5" w:rsidP="00B64BF5">
      <w:pPr>
        <w:spacing w:before="120" w:after="120"/>
        <w:ind w:left="425"/>
        <w:jc w:val="both"/>
      </w:pPr>
    </w:p>
    <w:p w14:paraId="12864BF2" w14:textId="77777777" w:rsidR="00F455ED" w:rsidRDefault="00F455ED" w:rsidP="00B64BF5">
      <w:pPr>
        <w:spacing w:before="120" w:after="120"/>
        <w:ind w:left="425"/>
        <w:jc w:val="both"/>
      </w:pPr>
    </w:p>
    <w:p w14:paraId="451C399D" w14:textId="77777777" w:rsidR="00F455ED" w:rsidRDefault="00F455ED" w:rsidP="00B64BF5">
      <w:pPr>
        <w:spacing w:before="120" w:after="120"/>
        <w:ind w:left="425"/>
        <w:jc w:val="both"/>
      </w:pPr>
    </w:p>
    <w:p w14:paraId="66DB0670" w14:textId="77777777" w:rsidR="00F455ED" w:rsidRDefault="00F455ED" w:rsidP="00AF04D7">
      <w:pPr>
        <w:spacing w:before="120" w:after="120"/>
        <w:jc w:val="both"/>
        <w:sectPr w:rsidR="00F455ED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F455ED" w14:paraId="4C75E446" w14:textId="77777777" w:rsidTr="006B791A">
        <w:trPr>
          <w:jc w:val="center"/>
        </w:trPr>
        <w:tc>
          <w:tcPr>
            <w:tcW w:w="12328" w:type="dxa"/>
            <w:gridSpan w:val="5"/>
          </w:tcPr>
          <w:p w14:paraId="7B92DEAF" w14:textId="77777777" w:rsidR="00F455ED" w:rsidRPr="001854AB" w:rsidRDefault="00F455ED" w:rsidP="001034AD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lastRenderedPageBreak/>
              <w:t xml:space="preserve">OBSERVACIONES AL PROYECTO DE CIRCULAR </w:t>
            </w:r>
            <w:r w:rsidR="00081B88" w:rsidRPr="00081B88">
              <w:rPr>
                <w:b/>
                <w:bCs/>
                <w:sz w:val="28"/>
                <w:szCs w:val="28"/>
              </w:rPr>
              <w:t xml:space="preserve">QUE IMPARTE INSTRUCCIONES A LAS MUTUALIDADES DE EMPLEADORES DEL SEGURO DE LA LEY </w:t>
            </w:r>
            <w:proofErr w:type="spellStart"/>
            <w:r w:rsidR="00081B88" w:rsidRPr="00081B88">
              <w:rPr>
                <w:b/>
                <w:bCs/>
                <w:sz w:val="28"/>
                <w:szCs w:val="28"/>
              </w:rPr>
              <w:t>N°</w:t>
            </w:r>
            <w:proofErr w:type="spellEnd"/>
            <w:r w:rsidR="00081B88" w:rsidRPr="00081B88">
              <w:rPr>
                <w:b/>
                <w:bCs/>
                <w:sz w:val="28"/>
                <w:szCs w:val="28"/>
              </w:rPr>
              <w:t xml:space="preserve"> 16.</w:t>
            </w:r>
            <w:r w:rsidR="00081B88" w:rsidRPr="00B211DB">
              <w:rPr>
                <w:b/>
                <w:bCs/>
                <w:sz w:val="28"/>
                <w:szCs w:val="28"/>
              </w:rPr>
              <w:t xml:space="preserve">744, SOBRE LA </w:t>
            </w:r>
            <w:r w:rsidR="001034AD" w:rsidRPr="00B211DB">
              <w:rPr>
                <w:rFonts w:eastAsia="Yu Mincho"/>
                <w:b/>
                <w:sz w:val="28"/>
                <w:lang w:eastAsia="es-CL"/>
              </w:rPr>
              <w:t>G</w:t>
            </w:r>
            <w:r w:rsidR="001034AD" w:rsidRPr="00B211DB">
              <w:rPr>
                <w:rFonts w:cstheme="minorHAnsi"/>
                <w:b/>
                <w:sz w:val="28"/>
                <w:szCs w:val="28"/>
              </w:rPr>
              <w:t>ESTIÓN DE LA CONTINUIDAD OPERACIONAL</w:t>
            </w:r>
            <w:r w:rsidR="001034AD" w:rsidRPr="00081B88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455ED" w14:paraId="54EB3945" w14:textId="77777777" w:rsidTr="006B791A">
        <w:trPr>
          <w:jc w:val="center"/>
        </w:trPr>
        <w:tc>
          <w:tcPr>
            <w:tcW w:w="1696" w:type="dxa"/>
            <w:shd w:val="clear" w:color="auto" w:fill="2F5496" w:themeFill="accent1" w:themeFillShade="BF"/>
          </w:tcPr>
          <w:p w14:paraId="61C31F47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F5496" w:themeFill="accent1" w:themeFillShade="BF"/>
          </w:tcPr>
          <w:p w14:paraId="1593DC6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NÚMERO,</w:t>
            </w:r>
            <w:r w:rsidRPr="001854A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EN EL COMPENDIO </w:t>
            </w:r>
            <w:proofErr w:type="gramStart"/>
            <w:r>
              <w:rPr>
                <w:color w:val="FFFFFF" w:themeColor="background1"/>
              </w:rPr>
              <w:t xml:space="preserve">O </w:t>
            </w:r>
            <w:r w:rsidRPr="001854AB">
              <w:rPr>
                <w:color w:val="FFFFFF" w:themeColor="background1"/>
              </w:rPr>
              <w:t xml:space="preserve"> PROYECTO</w:t>
            </w:r>
            <w:proofErr w:type="gramEnd"/>
            <w:r>
              <w:rPr>
                <w:color w:val="FFFFFF" w:themeColor="background1"/>
              </w:rPr>
              <w:t xml:space="preserve"> DE CIRCULAR,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2F5496" w:themeFill="accent1" w:themeFillShade="BF"/>
          </w:tcPr>
          <w:p w14:paraId="647C488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</w:t>
            </w:r>
            <w:r>
              <w:rPr>
                <w:color w:val="FFFFFF" w:themeColor="background1"/>
              </w:rPr>
              <w:t xml:space="preserve"> O </w:t>
            </w:r>
            <w:proofErr w:type="gramStart"/>
            <w:r>
              <w:rPr>
                <w:color w:val="FFFFFF" w:themeColor="background1"/>
              </w:rPr>
              <w:t xml:space="preserve">COMPENDIO, </w:t>
            </w:r>
            <w:r w:rsidRPr="001854AB">
              <w:rPr>
                <w:color w:val="FFFFFF" w:themeColor="background1"/>
              </w:rPr>
              <w:t xml:space="preserve"> OBJETO</w:t>
            </w:r>
            <w:proofErr w:type="gramEnd"/>
            <w:r w:rsidRPr="001854AB">
              <w:rPr>
                <w:color w:val="FFFFFF" w:themeColor="background1"/>
              </w:rPr>
              <w:t xml:space="preserve"> DEL COMENTARIO</w:t>
            </w:r>
          </w:p>
        </w:tc>
        <w:tc>
          <w:tcPr>
            <w:tcW w:w="2835" w:type="dxa"/>
            <w:shd w:val="clear" w:color="auto" w:fill="2F5496" w:themeFill="accent1" w:themeFillShade="BF"/>
          </w:tcPr>
          <w:p w14:paraId="0EF7DB82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3828" w:type="dxa"/>
            <w:shd w:val="clear" w:color="auto" w:fill="2F5496" w:themeFill="accent1" w:themeFillShade="BF"/>
          </w:tcPr>
          <w:p w14:paraId="55ACC9FD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60CDDEDA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F455ED" w14:paraId="02FA2DBB" w14:textId="77777777" w:rsidTr="006B791A">
        <w:trPr>
          <w:jc w:val="center"/>
        </w:trPr>
        <w:tc>
          <w:tcPr>
            <w:tcW w:w="1696" w:type="dxa"/>
          </w:tcPr>
          <w:p w14:paraId="5F00F15E" w14:textId="77777777" w:rsidR="00F455ED" w:rsidRDefault="00F455ED" w:rsidP="006B791A">
            <w:r>
              <w:t>Ejemplo:</w:t>
            </w:r>
          </w:p>
          <w:p w14:paraId="4238932B" w14:textId="77777777" w:rsidR="00F455ED" w:rsidRDefault="00F455ED" w:rsidP="006B791A"/>
          <w:p w14:paraId="0F72A14E" w14:textId="77777777" w:rsidR="00F455ED" w:rsidRDefault="00F455ED" w:rsidP="006B791A">
            <w:r w:rsidRPr="00046CC8">
              <w:rPr>
                <w:color w:val="808080" w:themeColor="background1" w:themeShade="80"/>
              </w:rPr>
              <w:t>Mutualidad de Empleadores</w:t>
            </w:r>
          </w:p>
        </w:tc>
        <w:tc>
          <w:tcPr>
            <w:tcW w:w="1985" w:type="dxa"/>
          </w:tcPr>
          <w:p w14:paraId="3BA2E828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E80D80">
              <w:rPr>
                <w:color w:val="808080" w:themeColor="background1" w:themeShade="80"/>
              </w:rPr>
              <w:t>Ejemplo:</w:t>
            </w:r>
          </w:p>
          <w:p w14:paraId="73B1108F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</w:p>
          <w:p w14:paraId="6AD52978" w14:textId="77777777" w:rsidR="00F455ED" w:rsidRDefault="00F455ED" w:rsidP="006B791A">
            <w:r w:rsidRPr="00E80D80">
              <w:rPr>
                <w:color w:val="808080" w:themeColor="background1" w:themeShade="80"/>
              </w:rPr>
              <w:t>Número 1, Letra A,</w:t>
            </w:r>
            <w:r>
              <w:rPr>
                <w:color w:val="808080" w:themeColor="background1" w:themeShade="80"/>
              </w:rPr>
              <w:t xml:space="preserve"> </w:t>
            </w:r>
            <w:r w:rsidRPr="00E80D80">
              <w:rPr>
                <w:color w:val="808080" w:themeColor="background1" w:themeShade="80"/>
              </w:rPr>
              <w:t>Título II, Libro IV</w:t>
            </w:r>
          </w:p>
        </w:tc>
        <w:tc>
          <w:tcPr>
            <w:tcW w:w="1984" w:type="dxa"/>
          </w:tcPr>
          <w:p w14:paraId="0EA4D39D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6456DA9E" w14:textId="77777777" w:rsidR="00F455ED" w:rsidRPr="00BD23B6" w:rsidRDefault="00F455ED" w:rsidP="006B791A">
            <w:pPr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1. Actividades permanentes de prevención de riesgos laborales</w:t>
            </w:r>
          </w:p>
          <w:p w14:paraId="730DBC28" w14:textId="77777777" w:rsidR="00F455ED" w:rsidRDefault="00F455ED" w:rsidP="006B791A"/>
        </w:tc>
        <w:tc>
          <w:tcPr>
            <w:tcW w:w="2835" w:type="dxa"/>
          </w:tcPr>
          <w:p w14:paraId="70F845C9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7F9A2893" w14:textId="77777777" w:rsidR="00F455ED" w:rsidRDefault="00F455ED" w:rsidP="006B791A">
            <w:r w:rsidRPr="00BD23B6">
              <w:rPr>
                <w:color w:val="808080" w:themeColor="background1" w:themeShade="80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</w:t>
            </w:r>
            <w:r w:rsidRPr="00BD23B6">
              <w:rPr>
                <w:color w:val="808080" w:themeColor="background1" w:themeShade="80"/>
              </w:rPr>
              <w:lastRenderedPageBreak/>
              <w:t>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581399A5" w14:textId="77777777" w:rsidR="00F455ED" w:rsidRDefault="00F455ED" w:rsidP="006B791A"/>
        </w:tc>
      </w:tr>
      <w:tr w:rsidR="00F455ED" w14:paraId="61A304FF" w14:textId="77777777" w:rsidTr="006B791A">
        <w:trPr>
          <w:jc w:val="center"/>
        </w:trPr>
        <w:tc>
          <w:tcPr>
            <w:tcW w:w="1696" w:type="dxa"/>
          </w:tcPr>
          <w:p w14:paraId="52B909CB" w14:textId="77777777" w:rsidR="00F455ED" w:rsidRDefault="00F455ED" w:rsidP="006B791A"/>
        </w:tc>
        <w:tc>
          <w:tcPr>
            <w:tcW w:w="1985" w:type="dxa"/>
          </w:tcPr>
          <w:p w14:paraId="1FB986B2" w14:textId="77777777" w:rsidR="00F455ED" w:rsidRDefault="00F455ED" w:rsidP="006B791A"/>
        </w:tc>
        <w:tc>
          <w:tcPr>
            <w:tcW w:w="1984" w:type="dxa"/>
          </w:tcPr>
          <w:p w14:paraId="2B710BE5" w14:textId="77777777" w:rsidR="00F455ED" w:rsidRDefault="00F455ED" w:rsidP="006B791A"/>
        </w:tc>
        <w:tc>
          <w:tcPr>
            <w:tcW w:w="2835" w:type="dxa"/>
          </w:tcPr>
          <w:p w14:paraId="2AE210A2" w14:textId="77777777" w:rsidR="00F455ED" w:rsidRDefault="00F455ED" w:rsidP="006B791A"/>
        </w:tc>
        <w:tc>
          <w:tcPr>
            <w:tcW w:w="3828" w:type="dxa"/>
          </w:tcPr>
          <w:p w14:paraId="3DA4D26C" w14:textId="77777777" w:rsidR="00F455ED" w:rsidRDefault="00F455ED" w:rsidP="006B791A"/>
          <w:p w14:paraId="77293C38" w14:textId="77777777" w:rsidR="00F455ED" w:rsidRDefault="00F455ED" w:rsidP="006B791A"/>
          <w:p w14:paraId="03F81906" w14:textId="77777777" w:rsidR="00F455ED" w:rsidRDefault="00F455ED" w:rsidP="006B791A"/>
          <w:p w14:paraId="5FE4A536" w14:textId="77777777" w:rsidR="00F455ED" w:rsidRDefault="00F455ED" w:rsidP="006B791A"/>
        </w:tc>
      </w:tr>
      <w:tr w:rsidR="00F455ED" w14:paraId="43B296F8" w14:textId="77777777" w:rsidTr="006B791A">
        <w:trPr>
          <w:jc w:val="center"/>
        </w:trPr>
        <w:tc>
          <w:tcPr>
            <w:tcW w:w="1696" w:type="dxa"/>
          </w:tcPr>
          <w:p w14:paraId="4603988E" w14:textId="77777777" w:rsidR="00F455ED" w:rsidRDefault="00F455ED" w:rsidP="006B791A"/>
        </w:tc>
        <w:tc>
          <w:tcPr>
            <w:tcW w:w="1985" w:type="dxa"/>
          </w:tcPr>
          <w:p w14:paraId="13006B56" w14:textId="77777777" w:rsidR="00F455ED" w:rsidRDefault="00F455ED" w:rsidP="006B791A"/>
        </w:tc>
        <w:tc>
          <w:tcPr>
            <w:tcW w:w="1984" w:type="dxa"/>
          </w:tcPr>
          <w:p w14:paraId="12227D5D" w14:textId="77777777" w:rsidR="00F455ED" w:rsidRDefault="00F455ED" w:rsidP="006B791A"/>
        </w:tc>
        <w:tc>
          <w:tcPr>
            <w:tcW w:w="2835" w:type="dxa"/>
          </w:tcPr>
          <w:p w14:paraId="50301853" w14:textId="77777777" w:rsidR="00F455ED" w:rsidRDefault="00F455ED" w:rsidP="006B791A"/>
        </w:tc>
        <w:tc>
          <w:tcPr>
            <w:tcW w:w="3828" w:type="dxa"/>
          </w:tcPr>
          <w:p w14:paraId="60220330" w14:textId="77777777" w:rsidR="00F455ED" w:rsidRDefault="00F455ED" w:rsidP="006B791A"/>
          <w:p w14:paraId="13E13CE1" w14:textId="77777777" w:rsidR="00F455ED" w:rsidRDefault="00F455ED" w:rsidP="006B791A"/>
          <w:p w14:paraId="42E9418E" w14:textId="77777777" w:rsidR="00F455ED" w:rsidRDefault="00F455ED" w:rsidP="006B791A"/>
          <w:p w14:paraId="0984B8CF" w14:textId="77777777" w:rsidR="00F455ED" w:rsidRDefault="00F455ED" w:rsidP="006B791A"/>
        </w:tc>
      </w:tr>
      <w:tr w:rsidR="00F455ED" w14:paraId="4483C915" w14:textId="77777777" w:rsidTr="006B791A">
        <w:trPr>
          <w:jc w:val="center"/>
        </w:trPr>
        <w:tc>
          <w:tcPr>
            <w:tcW w:w="1696" w:type="dxa"/>
          </w:tcPr>
          <w:p w14:paraId="355683A8" w14:textId="77777777" w:rsidR="00F455ED" w:rsidRDefault="00F455ED" w:rsidP="006B791A"/>
        </w:tc>
        <w:tc>
          <w:tcPr>
            <w:tcW w:w="1985" w:type="dxa"/>
          </w:tcPr>
          <w:p w14:paraId="53059C85" w14:textId="77777777" w:rsidR="00F455ED" w:rsidRDefault="00F455ED" w:rsidP="006B791A"/>
        </w:tc>
        <w:tc>
          <w:tcPr>
            <w:tcW w:w="1984" w:type="dxa"/>
          </w:tcPr>
          <w:p w14:paraId="19528804" w14:textId="77777777" w:rsidR="00F455ED" w:rsidRDefault="00F455ED" w:rsidP="006B791A"/>
        </w:tc>
        <w:tc>
          <w:tcPr>
            <w:tcW w:w="2835" w:type="dxa"/>
          </w:tcPr>
          <w:p w14:paraId="0E38B1EF" w14:textId="77777777" w:rsidR="00F455ED" w:rsidRDefault="00F455ED" w:rsidP="006B791A"/>
        </w:tc>
        <w:tc>
          <w:tcPr>
            <w:tcW w:w="3828" w:type="dxa"/>
          </w:tcPr>
          <w:p w14:paraId="300EE54F" w14:textId="77777777" w:rsidR="00F455ED" w:rsidRDefault="00F455ED" w:rsidP="006B791A"/>
          <w:p w14:paraId="467FC61D" w14:textId="77777777" w:rsidR="00F455ED" w:rsidRDefault="00F455ED" w:rsidP="006B791A"/>
          <w:p w14:paraId="2EE02C24" w14:textId="77777777" w:rsidR="00F455ED" w:rsidRDefault="00F455ED" w:rsidP="006B791A"/>
          <w:p w14:paraId="690A203E" w14:textId="77777777" w:rsidR="00F455ED" w:rsidRDefault="00F455ED" w:rsidP="006B791A"/>
        </w:tc>
      </w:tr>
      <w:tr w:rsidR="00F455ED" w14:paraId="1CE2C00A" w14:textId="77777777" w:rsidTr="006B791A">
        <w:trPr>
          <w:jc w:val="center"/>
        </w:trPr>
        <w:tc>
          <w:tcPr>
            <w:tcW w:w="1696" w:type="dxa"/>
          </w:tcPr>
          <w:p w14:paraId="0EC60D50" w14:textId="77777777" w:rsidR="00F455ED" w:rsidRDefault="00F455ED" w:rsidP="006B791A"/>
        </w:tc>
        <w:tc>
          <w:tcPr>
            <w:tcW w:w="1985" w:type="dxa"/>
          </w:tcPr>
          <w:p w14:paraId="5EF97201" w14:textId="77777777" w:rsidR="00F455ED" w:rsidRDefault="00F455ED" w:rsidP="006B791A"/>
        </w:tc>
        <w:tc>
          <w:tcPr>
            <w:tcW w:w="1984" w:type="dxa"/>
          </w:tcPr>
          <w:p w14:paraId="22977631" w14:textId="77777777" w:rsidR="00F455ED" w:rsidRDefault="00F455ED" w:rsidP="006B791A"/>
        </w:tc>
        <w:tc>
          <w:tcPr>
            <w:tcW w:w="2835" w:type="dxa"/>
          </w:tcPr>
          <w:p w14:paraId="279E09DF" w14:textId="77777777" w:rsidR="00F455ED" w:rsidRDefault="00F455ED" w:rsidP="006B791A"/>
        </w:tc>
        <w:tc>
          <w:tcPr>
            <w:tcW w:w="3828" w:type="dxa"/>
          </w:tcPr>
          <w:p w14:paraId="74ED8235" w14:textId="77777777" w:rsidR="00F455ED" w:rsidRDefault="00F455ED" w:rsidP="006B791A"/>
          <w:p w14:paraId="56A90F0F" w14:textId="77777777" w:rsidR="00F455ED" w:rsidRDefault="00F455ED" w:rsidP="006B791A"/>
          <w:p w14:paraId="2EB38A31" w14:textId="77777777" w:rsidR="00F455ED" w:rsidRDefault="00F455ED" w:rsidP="006B791A"/>
          <w:p w14:paraId="38C9482D" w14:textId="77777777" w:rsidR="00F455ED" w:rsidRDefault="00F455ED" w:rsidP="006B791A"/>
        </w:tc>
      </w:tr>
      <w:tr w:rsidR="00F455ED" w14:paraId="21605C70" w14:textId="77777777" w:rsidTr="006B791A">
        <w:trPr>
          <w:jc w:val="center"/>
        </w:trPr>
        <w:tc>
          <w:tcPr>
            <w:tcW w:w="1696" w:type="dxa"/>
          </w:tcPr>
          <w:p w14:paraId="41EE035E" w14:textId="77777777" w:rsidR="00F455ED" w:rsidRDefault="00F455ED" w:rsidP="006B791A"/>
        </w:tc>
        <w:tc>
          <w:tcPr>
            <w:tcW w:w="1985" w:type="dxa"/>
          </w:tcPr>
          <w:p w14:paraId="63040EC7" w14:textId="77777777" w:rsidR="00F455ED" w:rsidRDefault="00F455ED" w:rsidP="006B791A"/>
        </w:tc>
        <w:tc>
          <w:tcPr>
            <w:tcW w:w="1984" w:type="dxa"/>
          </w:tcPr>
          <w:p w14:paraId="2DB7DC22" w14:textId="77777777" w:rsidR="00F455ED" w:rsidRDefault="00F455ED" w:rsidP="006B791A"/>
        </w:tc>
        <w:tc>
          <w:tcPr>
            <w:tcW w:w="2835" w:type="dxa"/>
          </w:tcPr>
          <w:p w14:paraId="0184D727" w14:textId="77777777" w:rsidR="00F455ED" w:rsidRDefault="00F455ED" w:rsidP="006B791A"/>
        </w:tc>
        <w:tc>
          <w:tcPr>
            <w:tcW w:w="3828" w:type="dxa"/>
          </w:tcPr>
          <w:p w14:paraId="603E9BA1" w14:textId="77777777" w:rsidR="00F455ED" w:rsidRDefault="00F455ED" w:rsidP="006B791A"/>
          <w:p w14:paraId="5CE54CA0" w14:textId="77777777" w:rsidR="00F455ED" w:rsidRDefault="00F455ED" w:rsidP="006B791A"/>
          <w:p w14:paraId="63B972F6" w14:textId="77777777" w:rsidR="00F455ED" w:rsidRDefault="00F455ED" w:rsidP="006B791A"/>
          <w:p w14:paraId="5C7C233A" w14:textId="77777777" w:rsidR="00F455ED" w:rsidRDefault="00F455ED" w:rsidP="006B791A"/>
        </w:tc>
      </w:tr>
    </w:tbl>
    <w:p w14:paraId="08C6EB8A" w14:textId="77777777" w:rsidR="00F455ED" w:rsidRDefault="00F455ED" w:rsidP="00B64BF5">
      <w:pPr>
        <w:spacing w:before="120" w:after="120"/>
        <w:ind w:left="425"/>
        <w:jc w:val="both"/>
      </w:pPr>
    </w:p>
    <w:sectPr w:rsidR="00F455ED" w:rsidSect="00F455ED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50401" w14:textId="77777777" w:rsidR="00777AD1" w:rsidRDefault="00777AD1" w:rsidP="00807ED0">
      <w:pPr>
        <w:spacing w:after="0" w:line="240" w:lineRule="auto"/>
      </w:pPr>
      <w:r>
        <w:separator/>
      </w:r>
    </w:p>
  </w:endnote>
  <w:endnote w:type="continuationSeparator" w:id="0">
    <w:p w14:paraId="459DC0AD" w14:textId="77777777" w:rsidR="00777AD1" w:rsidRDefault="00777AD1" w:rsidP="0080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7755867"/>
      <w:docPartObj>
        <w:docPartGallery w:val="Page Numbers (Bottom of Page)"/>
        <w:docPartUnique/>
      </w:docPartObj>
    </w:sdtPr>
    <w:sdtEndPr/>
    <w:sdtContent>
      <w:p w14:paraId="4C0FDDE6" w14:textId="77777777" w:rsidR="00807ED0" w:rsidRDefault="00136E74">
        <w:pPr>
          <w:pStyle w:val="Piedepgina"/>
          <w:jc w:val="center"/>
        </w:pPr>
        <w:r>
          <w:fldChar w:fldCharType="begin"/>
        </w:r>
        <w:r w:rsidR="00807ED0">
          <w:instrText>PAGE   \* MERGEFORMAT</w:instrText>
        </w:r>
        <w:r>
          <w:fldChar w:fldCharType="separate"/>
        </w:r>
        <w:r w:rsidR="00AB42D9" w:rsidRPr="00AB42D9">
          <w:rPr>
            <w:noProof/>
            <w:lang w:val="es-ES"/>
          </w:rPr>
          <w:t>2</w:t>
        </w:r>
        <w:r>
          <w:fldChar w:fldCharType="end"/>
        </w:r>
      </w:p>
    </w:sdtContent>
  </w:sdt>
  <w:p w14:paraId="17C0954D" w14:textId="77777777" w:rsidR="00807ED0" w:rsidRDefault="00807E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2481B" w14:textId="77777777" w:rsidR="00777AD1" w:rsidRDefault="00777AD1" w:rsidP="00807ED0">
      <w:pPr>
        <w:spacing w:after="0" w:line="240" w:lineRule="auto"/>
      </w:pPr>
      <w:r>
        <w:separator/>
      </w:r>
    </w:p>
  </w:footnote>
  <w:footnote w:type="continuationSeparator" w:id="0">
    <w:p w14:paraId="24D65B59" w14:textId="77777777" w:rsidR="00777AD1" w:rsidRDefault="00777AD1" w:rsidP="0080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DD590" w14:textId="77777777" w:rsidR="00AF04D7" w:rsidRDefault="00AF04D7" w:rsidP="00AF04D7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7216" behindDoc="0" locked="0" layoutInCell="1" allowOverlap="1" wp14:anchorId="6288D9C8" wp14:editId="3717C910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Cs w:val="20"/>
      </w:rPr>
      <w:t>Superintendencia de Seguridad Social</w:t>
    </w:r>
  </w:p>
  <w:p w14:paraId="02A6A75E" w14:textId="77777777" w:rsidR="00AF04D7" w:rsidRDefault="00AF04D7" w:rsidP="00AF04D7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4E6F8183" w14:textId="77777777" w:rsidR="00AF04D7" w:rsidRPr="00AF04D7" w:rsidRDefault="00AF04D7">
    <w:pPr>
      <w:pStyle w:val="Encabezado"/>
      <w:rPr>
        <w:lang w:val="es-ES"/>
      </w:rPr>
    </w:pPr>
  </w:p>
  <w:p w14:paraId="26C8598F" w14:textId="77777777" w:rsidR="00AF04D7" w:rsidRDefault="00AF04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24FF"/>
    <w:multiLevelType w:val="hybridMultilevel"/>
    <w:tmpl w:val="F6FCD5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46C92"/>
    <w:multiLevelType w:val="hybridMultilevel"/>
    <w:tmpl w:val="0144EC5A"/>
    <w:lvl w:ilvl="0" w:tplc="3F10B5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0152F"/>
    <w:multiLevelType w:val="hybridMultilevel"/>
    <w:tmpl w:val="C27C8664"/>
    <w:lvl w:ilvl="0" w:tplc="BB1839E4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04422"/>
    <w:multiLevelType w:val="hybridMultilevel"/>
    <w:tmpl w:val="4DEE39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11EFD"/>
    <w:multiLevelType w:val="hybridMultilevel"/>
    <w:tmpl w:val="3A5665AC"/>
    <w:lvl w:ilvl="0" w:tplc="E7E85EA4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32D3A"/>
    <w:multiLevelType w:val="hybridMultilevel"/>
    <w:tmpl w:val="989AB3A8"/>
    <w:lvl w:ilvl="0" w:tplc="3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43346CB"/>
    <w:multiLevelType w:val="hybridMultilevel"/>
    <w:tmpl w:val="2522FCDE"/>
    <w:lvl w:ilvl="0" w:tplc="34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365B0F69"/>
    <w:multiLevelType w:val="hybridMultilevel"/>
    <w:tmpl w:val="2118055A"/>
    <w:lvl w:ilvl="0" w:tplc="8CB8FFA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14AB6"/>
    <w:multiLevelType w:val="hybridMultilevel"/>
    <w:tmpl w:val="E24067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25326"/>
    <w:multiLevelType w:val="hybridMultilevel"/>
    <w:tmpl w:val="4C9ECCB0"/>
    <w:lvl w:ilvl="0" w:tplc="4ADC5A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62BAA"/>
    <w:multiLevelType w:val="hybridMultilevel"/>
    <w:tmpl w:val="CB6475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9C"/>
    <w:rsid w:val="0006559E"/>
    <w:rsid w:val="00081B88"/>
    <w:rsid w:val="00084638"/>
    <w:rsid w:val="00085F6E"/>
    <w:rsid w:val="000F22AF"/>
    <w:rsid w:val="001034AD"/>
    <w:rsid w:val="00107E1D"/>
    <w:rsid w:val="00124062"/>
    <w:rsid w:val="00136E74"/>
    <w:rsid w:val="00160560"/>
    <w:rsid w:val="00183CC0"/>
    <w:rsid w:val="001910DD"/>
    <w:rsid w:val="00197805"/>
    <w:rsid w:val="00227992"/>
    <w:rsid w:val="00273D5B"/>
    <w:rsid w:val="002A0018"/>
    <w:rsid w:val="002A71C9"/>
    <w:rsid w:val="002B64FC"/>
    <w:rsid w:val="002C7B46"/>
    <w:rsid w:val="002D71EE"/>
    <w:rsid w:val="002E1694"/>
    <w:rsid w:val="002F3EE4"/>
    <w:rsid w:val="002F5BEA"/>
    <w:rsid w:val="003510DD"/>
    <w:rsid w:val="00351E18"/>
    <w:rsid w:val="00397EB0"/>
    <w:rsid w:val="003C5C11"/>
    <w:rsid w:val="003D236F"/>
    <w:rsid w:val="003D5352"/>
    <w:rsid w:val="004134A8"/>
    <w:rsid w:val="004134D8"/>
    <w:rsid w:val="00426B3D"/>
    <w:rsid w:val="004A175F"/>
    <w:rsid w:val="004A2DCE"/>
    <w:rsid w:val="004B564D"/>
    <w:rsid w:val="004B6D96"/>
    <w:rsid w:val="004C514E"/>
    <w:rsid w:val="004D3971"/>
    <w:rsid w:val="004E5A19"/>
    <w:rsid w:val="004F38DF"/>
    <w:rsid w:val="005133CE"/>
    <w:rsid w:val="005158C3"/>
    <w:rsid w:val="00545850"/>
    <w:rsid w:val="005E42A0"/>
    <w:rsid w:val="005F3898"/>
    <w:rsid w:val="00685D28"/>
    <w:rsid w:val="006922DB"/>
    <w:rsid w:val="006A1900"/>
    <w:rsid w:val="006A5C1D"/>
    <w:rsid w:val="006F330D"/>
    <w:rsid w:val="00701139"/>
    <w:rsid w:val="00707D6F"/>
    <w:rsid w:val="00713B39"/>
    <w:rsid w:val="00777AD1"/>
    <w:rsid w:val="007B0E0C"/>
    <w:rsid w:val="007B2F73"/>
    <w:rsid w:val="007B43E9"/>
    <w:rsid w:val="007E7BC1"/>
    <w:rsid w:val="007F29C7"/>
    <w:rsid w:val="00801989"/>
    <w:rsid w:val="00807ED0"/>
    <w:rsid w:val="00885F15"/>
    <w:rsid w:val="008A503B"/>
    <w:rsid w:val="008C4414"/>
    <w:rsid w:val="008C7684"/>
    <w:rsid w:val="008D1065"/>
    <w:rsid w:val="008F10DB"/>
    <w:rsid w:val="0092657C"/>
    <w:rsid w:val="00981C6C"/>
    <w:rsid w:val="00983360"/>
    <w:rsid w:val="00983BA0"/>
    <w:rsid w:val="00990B99"/>
    <w:rsid w:val="009B1A44"/>
    <w:rsid w:val="009E3F44"/>
    <w:rsid w:val="009E5760"/>
    <w:rsid w:val="00A071EE"/>
    <w:rsid w:val="00A237EC"/>
    <w:rsid w:val="00A30F8A"/>
    <w:rsid w:val="00A36E4E"/>
    <w:rsid w:val="00A45B9C"/>
    <w:rsid w:val="00A507B3"/>
    <w:rsid w:val="00A83763"/>
    <w:rsid w:val="00AB42D9"/>
    <w:rsid w:val="00AB5D11"/>
    <w:rsid w:val="00AF04D7"/>
    <w:rsid w:val="00B211DB"/>
    <w:rsid w:val="00B317D3"/>
    <w:rsid w:val="00B35DB0"/>
    <w:rsid w:val="00B64BF5"/>
    <w:rsid w:val="00BA79C3"/>
    <w:rsid w:val="00BC2129"/>
    <w:rsid w:val="00C238D3"/>
    <w:rsid w:val="00D426DE"/>
    <w:rsid w:val="00D74401"/>
    <w:rsid w:val="00D9613F"/>
    <w:rsid w:val="00DB123A"/>
    <w:rsid w:val="00DB1DEF"/>
    <w:rsid w:val="00DB2B11"/>
    <w:rsid w:val="00DD7884"/>
    <w:rsid w:val="00E12DF3"/>
    <w:rsid w:val="00E21C64"/>
    <w:rsid w:val="00E358D2"/>
    <w:rsid w:val="00ED0ECD"/>
    <w:rsid w:val="00F353C0"/>
    <w:rsid w:val="00F36E49"/>
    <w:rsid w:val="00F4243D"/>
    <w:rsid w:val="00F43BFB"/>
    <w:rsid w:val="00F44745"/>
    <w:rsid w:val="00F455ED"/>
    <w:rsid w:val="00F77C3A"/>
    <w:rsid w:val="00F85D76"/>
    <w:rsid w:val="00FA3D51"/>
    <w:rsid w:val="00FA4566"/>
    <w:rsid w:val="00FA4FAB"/>
    <w:rsid w:val="00FB4A25"/>
    <w:rsid w:val="00F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219A"/>
  <w15:docId w15:val="{983F614A-4350-4BEA-AF95-426D550B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E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viñeta,Bullet Number"/>
    <w:basedOn w:val="Normal"/>
    <w:link w:val="PrrafodelistaCar"/>
    <w:uiPriority w:val="34"/>
    <w:qFormat/>
    <w:rsid w:val="00A36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ED0"/>
  </w:style>
  <w:style w:type="paragraph" w:styleId="Piedepgina">
    <w:name w:val="footer"/>
    <w:basedOn w:val="Normal"/>
    <w:link w:val="Piedepgina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ED0"/>
  </w:style>
  <w:style w:type="table" w:styleId="Tablaconcuadrcula">
    <w:name w:val="Table Grid"/>
    <w:basedOn w:val="Tablanormal"/>
    <w:uiPriority w:val="39"/>
    <w:rsid w:val="00F455E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AF04D7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AF04D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3971"/>
    <w:rPr>
      <w:color w:val="0563C1" w:themeColor="hyperlink"/>
      <w:u w:val="single"/>
    </w:rPr>
  </w:style>
  <w:style w:type="character" w:customStyle="1" w:styleId="PrrafodelistaCar">
    <w:name w:val="Párrafo de lista Car"/>
    <w:aliases w:val="viñeta Car,Bullet Number Car"/>
    <w:link w:val="Prrafodelista"/>
    <w:uiPriority w:val="34"/>
    <w:locked/>
    <w:rsid w:val="0054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665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Fabián Ramirez</dc:creator>
  <cp:lastModifiedBy>Valentina Nehgne</cp:lastModifiedBy>
  <cp:revision>11</cp:revision>
  <cp:lastPrinted>2021-09-07T12:24:00Z</cp:lastPrinted>
  <dcterms:created xsi:type="dcterms:W3CDTF">2021-09-03T19:41:00Z</dcterms:created>
  <dcterms:modified xsi:type="dcterms:W3CDTF">2021-09-07T12:24:00Z</dcterms:modified>
</cp:coreProperties>
</file>