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0902" w14:textId="77777777" w:rsidR="000E3BA0" w:rsidRDefault="000E3BA0" w:rsidP="000E3BA0">
      <w:pPr>
        <w:jc w:val="center"/>
        <w:rPr>
          <w:rFonts w:ascii="Calibri" w:hAnsi="Calibri"/>
          <w:b/>
          <w:sz w:val="24"/>
          <w:szCs w:val="24"/>
        </w:rPr>
      </w:pPr>
    </w:p>
    <w:p w14:paraId="1EEA24D7" w14:textId="1D647187" w:rsidR="000E3BA0" w:rsidRPr="00112449" w:rsidRDefault="000E3BA0" w:rsidP="000E3BA0">
      <w:pPr>
        <w:jc w:val="center"/>
        <w:rPr>
          <w:rFonts w:ascii="Calibri" w:hAnsi="Calibri"/>
          <w:b/>
          <w:sz w:val="24"/>
          <w:szCs w:val="24"/>
        </w:rPr>
      </w:pPr>
      <w:r w:rsidRPr="00112449">
        <w:rPr>
          <w:rFonts w:ascii="Calibri" w:hAnsi="Calibri"/>
          <w:b/>
          <w:sz w:val="24"/>
          <w:szCs w:val="24"/>
        </w:rPr>
        <w:t xml:space="preserve">MINUTA </w:t>
      </w:r>
    </w:p>
    <w:p w14:paraId="17940368" w14:textId="77777777" w:rsidR="000E3BA0" w:rsidRDefault="000E3BA0" w:rsidP="000E3BA0">
      <w:pPr>
        <w:jc w:val="center"/>
        <w:rPr>
          <w:rFonts w:ascii="Calibri" w:hAnsi="Calibri"/>
          <w:b/>
          <w:caps/>
          <w:sz w:val="24"/>
          <w:szCs w:val="24"/>
        </w:rPr>
      </w:pPr>
      <w:r>
        <w:rPr>
          <w:rFonts w:ascii="Calibri" w:hAnsi="Calibri"/>
          <w:b/>
          <w:caps/>
          <w:sz w:val="24"/>
          <w:szCs w:val="24"/>
        </w:rPr>
        <w:t xml:space="preserve">PROYECTO DE </w:t>
      </w:r>
      <w:r w:rsidRPr="00112449">
        <w:rPr>
          <w:rFonts w:ascii="Calibri" w:hAnsi="Calibri"/>
          <w:b/>
          <w:caps/>
          <w:sz w:val="24"/>
          <w:szCs w:val="24"/>
        </w:rPr>
        <w:t xml:space="preserve">Circular </w:t>
      </w:r>
      <w:r>
        <w:rPr>
          <w:rFonts w:ascii="Calibri" w:hAnsi="Calibri"/>
          <w:b/>
          <w:caps/>
          <w:sz w:val="24"/>
          <w:szCs w:val="24"/>
        </w:rPr>
        <w:t xml:space="preserve">QUE MODIFICA LAS INSTRUCCIONES RELATIVAS AL </w:t>
      </w:r>
      <w:r w:rsidRPr="00D41F91">
        <w:rPr>
          <w:rFonts w:ascii="Calibri" w:hAnsi="Calibri"/>
          <w:b/>
          <w:caps/>
          <w:sz w:val="24"/>
          <w:szCs w:val="24"/>
        </w:rPr>
        <w:t>CÁLCULO DE LAS PRESTACIONES ECONÓMICAS POR INCAPACIDAD PERMANENTE</w:t>
      </w:r>
    </w:p>
    <w:p w14:paraId="24536235" w14:textId="77777777" w:rsidR="000E3BA0" w:rsidRDefault="000E3BA0" w:rsidP="000E3BA0">
      <w:pPr>
        <w:jc w:val="center"/>
        <w:rPr>
          <w:rFonts w:ascii="Calibri" w:hAnsi="Calibri"/>
          <w:b/>
          <w:caps/>
          <w:sz w:val="24"/>
          <w:szCs w:val="24"/>
        </w:rPr>
      </w:pPr>
    </w:p>
    <w:p w14:paraId="2DEB524A" w14:textId="77777777" w:rsidR="000E3BA0" w:rsidRDefault="000E3BA0" w:rsidP="000E3BA0">
      <w:pPr>
        <w:spacing w:before="120" w:after="120"/>
        <w:jc w:val="both"/>
      </w:pPr>
      <w:r w:rsidRPr="00357D2E">
        <w:rPr>
          <w:rFonts w:cstheme="minorHAnsi"/>
        </w:rPr>
        <w:t xml:space="preserve">La Superintendencia de Seguridad Social, en uso de las facultades que le confieren los artículos 2°, 3°, 30 y 38 letra d) de la Ley </w:t>
      </w:r>
      <w:proofErr w:type="spellStart"/>
      <w:r w:rsidRPr="00357D2E">
        <w:rPr>
          <w:rFonts w:cstheme="minorHAnsi"/>
        </w:rPr>
        <w:t>N°</w:t>
      </w:r>
      <w:proofErr w:type="spellEnd"/>
      <w:r w:rsidRPr="00357D2E">
        <w:rPr>
          <w:rFonts w:cstheme="minorHAnsi"/>
        </w:rPr>
        <w:t xml:space="preserve"> 16.395 y el artículo 12 de la Ley </w:t>
      </w:r>
      <w:proofErr w:type="spellStart"/>
      <w:r w:rsidRPr="00357D2E">
        <w:rPr>
          <w:rFonts w:cstheme="minorHAnsi"/>
        </w:rPr>
        <w:t>N°</w:t>
      </w:r>
      <w:proofErr w:type="spellEnd"/>
      <w:r w:rsidRPr="00357D2E">
        <w:rPr>
          <w:rFonts w:cstheme="minorHAnsi"/>
        </w:rPr>
        <w:t xml:space="preserve"> 16.744, ha estimado pertinente modificar el Compendio de Normas del Seguro Social de Accidentes del Trabajo y Enfermedades Profesionales de la Ley N°16.744, </w:t>
      </w:r>
      <w:r>
        <w:rPr>
          <w:rFonts w:cstheme="minorHAnsi"/>
        </w:rPr>
        <w:t>, a fin de actualizar las instrucciones referidas a la determinación del sueldo base mensual utilizado para el cálculo de las prestaciones económicas aso</w:t>
      </w:r>
      <w:r>
        <w:t>ciadas a incapacidad permanente, incluyendo, además, la situación de los trabajadores independientes obligados a cotizar para dicho seguro.</w:t>
      </w:r>
    </w:p>
    <w:p w14:paraId="37C09BDA" w14:textId="77777777" w:rsidR="000E3BA0" w:rsidRDefault="000E3BA0" w:rsidP="000E3BA0">
      <w:pPr>
        <w:spacing w:before="120" w:after="120"/>
        <w:jc w:val="both"/>
        <w:rPr>
          <w:rFonts w:ascii="Calibri" w:hAnsi="Calibri" w:cs="Arial"/>
        </w:rPr>
      </w:pPr>
      <w:r>
        <w:rPr>
          <w:rFonts w:ascii="Calibri" w:hAnsi="Calibri" w:cs="Arial"/>
        </w:rPr>
        <w:t xml:space="preserve">El presente proyecto de circular considera que se incluyan dentro de la determinación del sueldo base mensual, los periodos en que el trabajador haya tenido cobertura como trabajador independiente obligado, en los términos del artículo 88 de la Ley </w:t>
      </w:r>
      <w:proofErr w:type="spellStart"/>
      <w:r>
        <w:rPr>
          <w:rFonts w:ascii="Calibri" w:hAnsi="Calibri" w:cs="Arial"/>
        </w:rPr>
        <w:t>Nº</w:t>
      </w:r>
      <w:proofErr w:type="spellEnd"/>
      <w:r>
        <w:rPr>
          <w:rFonts w:ascii="Calibri" w:hAnsi="Calibri" w:cs="Arial"/>
        </w:rPr>
        <w:t xml:space="preserve"> 20.255, cuando dicho periodo se encuentre comprendido dentro de los 6 meses inmediatamente anteriores a la fecha del accidente o enfermedad. Ello, toda vez que el sistema de cobertura de los trabajadores independientes obligados rige hacia el futuro, desde el 1º de julio del año siguiente a aquel en que se perciben las rentas por las que se cotiza, hasta el 30 de junio del año subsiguiente. Por esta razón, como no existe coincidencia entre el momento en que se perciben las rentas y el periodo en que se otorga la cobertura, es que se hace necesario establecer una ficción para que, para efectos de la determinación del sueldo base mensual, la renta del trabajador independiente se tenga como “percibida” dentro del periodo de cobertura obligatoria. Por el contrario, las rentas percibidas durante los 6 meses anteriores a la fecha del accidente o enfermedad, por las que se vaya a cotizar durante el año siguiente al de su percepción, no deben considerarse en la determinación del sueldo base mensual, para evitar que dichas rentas otorguen una doble cobertura.</w:t>
      </w:r>
    </w:p>
    <w:p w14:paraId="7327D229" w14:textId="77777777" w:rsidR="000E3BA0" w:rsidRPr="00936A09" w:rsidRDefault="000E3BA0" w:rsidP="000E3BA0">
      <w:pPr>
        <w:pStyle w:val="HTMLconformatoprevio"/>
        <w:shd w:val="clear" w:color="auto" w:fill="FFFFFF"/>
        <w:spacing w:before="120" w:after="120" w:line="276" w:lineRule="auto"/>
        <w:jc w:val="both"/>
        <w:rPr>
          <w:rFonts w:ascii="Calibri" w:hAnsi="Calibri" w:cs="Arial"/>
          <w:sz w:val="22"/>
          <w:szCs w:val="22"/>
        </w:rPr>
      </w:pPr>
      <w:r>
        <w:rPr>
          <w:rFonts w:ascii="Calibri" w:hAnsi="Calibri" w:cs="Arial"/>
          <w:sz w:val="22"/>
          <w:szCs w:val="22"/>
        </w:rPr>
        <w:t xml:space="preserve">Por otra parte, se establece que en los casos en que dentro de los 6 meses inmediatamente anteriores a la fecha del accidente o diagnóstico de la enfermedad, el trabajador no registra remuneraciones o rentas imponibles, </w:t>
      </w:r>
      <w:r w:rsidRPr="00D41F91">
        <w:rPr>
          <w:rFonts w:ascii="Calibri" w:hAnsi="Calibri" w:cs="Arial"/>
          <w:sz w:val="22"/>
          <w:szCs w:val="22"/>
        </w:rPr>
        <w:t>se considerará como sueldo base la remuneración imponible establecida en el contrato de trabajo, o la renta declarada en el acto de la afiliación</w:t>
      </w:r>
      <w:r>
        <w:rPr>
          <w:rFonts w:ascii="Calibri" w:hAnsi="Calibri" w:cs="Arial"/>
          <w:sz w:val="22"/>
          <w:szCs w:val="22"/>
        </w:rPr>
        <w:t>, lo que es aplicable tanto para trabajadores nuevos que no registren cotizaciones previas, como para trabajadores antiguos, pero que no tengan remuneración o renta imponible dentro del periodo señalado. De esta manera, se evita la búsqueda indefinida en el tiempo de periodos con cotizaciones, que podrían no ser representativos de la remuneración o renta que el trabajador ha dejado de percibir producto del accidente o enfermedad.</w:t>
      </w:r>
    </w:p>
    <w:p w14:paraId="5721BB67" w14:textId="6AD8AF35" w:rsidR="00CC6141" w:rsidRDefault="00CC6141" w:rsidP="00693823">
      <w:pPr>
        <w:spacing w:after="0" w:line="276" w:lineRule="auto"/>
        <w:jc w:val="both"/>
      </w:pPr>
    </w:p>
    <w:p w14:paraId="7EBF3097" w14:textId="77777777" w:rsidR="00B66CC0" w:rsidRDefault="00C75A7C" w:rsidP="00693823">
      <w:pPr>
        <w:spacing w:after="0" w:line="276" w:lineRule="auto"/>
        <w:jc w:val="both"/>
        <w:rPr>
          <w:lang w:val="es-ES"/>
        </w:rPr>
      </w:pPr>
      <w:r w:rsidRPr="00693823">
        <w:t xml:space="preserve">Para efectuar comentarios al presente proyecto de circular, se solicita enviar el archivo que se adjunta a continuación, al correo electrónico </w:t>
      </w:r>
      <w:hyperlink r:id="rId7" w:history="1">
        <w:r w:rsidR="00693823" w:rsidRPr="00693823">
          <w:rPr>
            <w:rStyle w:val="Hipervnculo"/>
            <w:lang w:val="es-ES"/>
          </w:rPr>
          <w:t>isesa</w:t>
        </w:r>
        <w:r w:rsidR="00693823" w:rsidRPr="00693823">
          <w:rPr>
            <w:rStyle w:val="Hipervnculo"/>
          </w:rPr>
          <w:t>t</w:t>
        </w:r>
        <w:r w:rsidR="00693823" w:rsidRPr="00693823">
          <w:rPr>
            <w:rStyle w:val="Hipervnculo"/>
            <w:lang w:val="es-ES"/>
          </w:rPr>
          <w:t>@suseso.cl</w:t>
        </w:r>
      </w:hyperlink>
      <w:r w:rsidR="00693823" w:rsidRPr="00693823">
        <w:rPr>
          <w:lang w:val="es-ES"/>
        </w:rPr>
        <w:t>.</w:t>
      </w:r>
    </w:p>
    <w:p w14:paraId="0C855993" w14:textId="4B51AD9C" w:rsidR="000D081C" w:rsidRDefault="000D081C" w:rsidP="00693823">
      <w:pPr>
        <w:spacing w:after="0" w:line="276" w:lineRule="auto"/>
        <w:jc w:val="both"/>
        <w:rPr>
          <w:lang w:val="es-ES"/>
        </w:rPr>
      </w:pPr>
    </w:p>
    <w:p w14:paraId="177E1E27" w14:textId="5C5787E5" w:rsidR="000D081C" w:rsidRDefault="000D081C" w:rsidP="00693823">
      <w:pPr>
        <w:spacing w:after="0" w:line="276" w:lineRule="auto"/>
        <w:jc w:val="both"/>
        <w:rPr>
          <w:lang w:val="es-ES"/>
        </w:rPr>
      </w:pPr>
    </w:p>
    <w:p w14:paraId="25055235" w14:textId="582F71F3" w:rsidR="000D081C" w:rsidRDefault="000D081C" w:rsidP="00693823">
      <w:pPr>
        <w:spacing w:after="0" w:line="276" w:lineRule="auto"/>
        <w:jc w:val="both"/>
        <w:rPr>
          <w:lang w:val="es-ES"/>
        </w:rPr>
      </w:pPr>
    </w:p>
    <w:p w14:paraId="2F33680C" w14:textId="2D6C48FA" w:rsidR="000D081C" w:rsidRPr="00693823" w:rsidRDefault="008C0761" w:rsidP="000D081C">
      <w:pPr>
        <w:spacing w:after="0" w:line="276" w:lineRule="auto"/>
        <w:jc w:val="both"/>
        <w:sectPr w:rsidR="000D081C" w:rsidRPr="00693823" w:rsidSect="003C676C">
          <w:headerReference w:type="default" r:id="rId8"/>
          <w:pgSz w:w="12240" w:h="15840" w:code="129"/>
          <w:pgMar w:top="993" w:right="1183" w:bottom="1417" w:left="1418" w:header="1191" w:footer="708" w:gutter="0"/>
          <w:cols w:space="708"/>
          <w:docGrid w:linePitch="360"/>
        </w:sectPr>
      </w:pPr>
      <w:r>
        <w:t xml:space="preserve"> </w:t>
      </w:r>
    </w:p>
    <w:p w14:paraId="0110A77E" w14:textId="76F63408" w:rsidR="00B81841" w:rsidRDefault="00B81841" w:rsidP="00D846B8">
      <w:pPr>
        <w:jc w:val="both"/>
      </w:pPr>
    </w:p>
    <w:tbl>
      <w:tblPr>
        <w:tblStyle w:val="Tablaconcuadrcula"/>
        <w:tblW w:w="12328" w:type="dxa"/>
        <w:jc w:val="center"/>
        <w:tblInd w:w="0" w:type="dxa"/>
        <w:tblLook w:val="04A0" w:firstRow="1" w:lastRow="0" w:firstColumn="1" w:lastColumn="0" w:noHBand="0" w:noVBand="1"/>
      </w:tblPr>
      <w:tblGrid>
        <w:gridCol w:w="1696"/>
        <w:gridCol w:w="1985"/>
        <w:gridCol w:w="1984"/>
        <w:gridCol w:w="2835"/>
        <w:gridCol w:w="3828"/>
      </w:tblGrid>
      <w:tr w:rsidR="00B66CC0" w14:paraId="2039E97B" w14:textId="77777777" w:rsidTr="00B66CC0">
        <w:trPr>
          <w:jc w:val="center"/>
        </w:trPr>
        <w:tc>
          <w:tcPr>
            <w:tcW w:w="12328" w:type="dxa"/>
            <w:gridSpan w:val="5"/>
            <w:tcBorders>
              <w:top w:val="single" w:sz="4" w:space="0" w:color="auto"/>
              <w:left w:val="single" w:sz="4" w:space="0" w:color="auto"/>
              <w:bottom w:val="single" w:sz="4" w:space="0" w:color="auto"/>
              <w:right w:val="single" w:sz="4" w:space="0" w:color="auto"/>
            </w:tcBorders>
          </w:tcPr>
          <w:p w14:paraId="37441836" w14:textId="6629E82C" w:rsidR="00CC6141" w:rsidRPr="00CC6141" w:rsidRDefault="00B66CC0" w:rsidP="00CC6141">
            <w:pPr>
              <w:jc w:val="center"/>
              <w:rPr>
                <w:rFonts w:cstheme="minorHAnsi"/>
                <w:b/>
                <w:bCs/>
                <w:sz w:val="24"/>
                <w:szCs w:val="24"/>
              </w:rPr>
            </w:pPr>
            <w:r w:rsidRPr="005422B5">
              <w:rPr>
                <w:rFonts w:cstheme="minorHAnsi"/>
                <w:b/>
                <w:bCs/>
                <w:sz w:val="24"/>
                <w:szCs w:val="24"/>
              </w:rPr>
              <w:t xml:space="preserve">OBSERVACIONES AL </w:t>
            </w:r>
            <w:r w:rsidR="005422B5" w:rsidRPr="005422B5">
              <w:rPr>
                <w:b/>
                <w:sz w:val="24"/>
                <w:szCs w:val="24"/>
                <w:lang w:val="es-ES"/>
              </w:rPr>
              <w:t xml:space="preserve">PROYECTO DE </w:t>
            </w:r>
            <w:r w:rsidR="00EB189C">
              <w:rPr>
                <w:b/>
                <w:sz w:val="24"/>
                <w:szCs w:val="24"/>
                <w:lang w:val="es-ES"/>
              </w:rPr>
              <w:t xml:space="preserve">CIRCULAR </w:t>
            </w:r>
            <w:r w:rsidR="000E3BA0" w:rsidRPr="000E3BA0">
              <w:rPr>
                <w:b/>
                <w:sz w:val="24"/>
                <w:szCs w:val="24"/>
                <w:lang w:val="es-ES"/>
              </w:rPr>
              <w:t>MODIFICA LAS INSTRUCCIONES RELATIVAS AL CÁLCULO DE LAS PRESTACIONES ECONÓMICAS POR INCAPACIDAD PERMANENTE</w:t>
            </w:r>
          </w:p>
          <w:p w14:paraId="1497D7AE" w14:textId="4A61A93B" w:rsidR="00B66CC0" w:rsidRDefault="00B66CC0">
            <w:pPr>
              <w:jc w:val="both"/>
              <w:textAlignment w:val="baseline"/>
              <w:rPr>
                <w:rFonts w:ascii="Calibri" w:eastAsia="Times New Roman" w:hAnsi="Calibri" w:cs="Times New Roman"/>
                <w:b/>
                <w:bCs/>
                <w:color w:val="000000"/>
                <w:lang w:eastAsia="es-CL"/>
              </w:rPr>
            </w:pPr>
          </w:p>
        </w:tc>
      </w:tr>
      <w:tr w:rsidR="00B66CC0" w14:paraId="61B90096" w14:textId="77777777" w:rsidTr="00B66CC0">
        <w:trPr>
          <w:jc w:val="center"/>
        </w:trPr>
        <w:tc>
          <w:tcPr>
            <w:tcW w:w="1696"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8BEE128"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98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DD0B4B0"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SECCIÓN O NÚMERO, EN EL COMPENDIO </w:t>
            </w:r>
            <w:proofErr w:type="gramStart"/>
            <w:r>
              <w:rPr>
                <w:rFonts w:ascii="Calibri" w:eastAsia="Times New Roman" w:hAnsi="Calibri" w:cs="Times New Roman"/>
                <w:bCs/>
                <w:color w:val="000000"/>
                <w:lang w:eastAsia="es-CL"/>
              </w:rPr>
              <w:t>O  PROYECTO</w:t>
            </w:r>
            <w:proofErr w:type="gramEnd"/>
            <w:r>
              <w:rPr>
                <w:rFonts w:ascii="Calibri" w:eastAsia="Times New Roman" w:hAnsi="Calibri" w:cs="Times New Roman"/>
                <w:bCs/>
                <w:color w:val="000000"/>
                <w:lang w:eastAsia="es-CL"/>
              </w:rPr>
              <w:t xml:space="preserve"> DE CIRCULAR, OBJETO DEL COMENTARIO</w:t>
            </w:r>
          </w:p>
        </w:tc>
        <w:tc>
          <w:tcPr>
            <w:tcW w:w="198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AB0B920"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TÍTULO DE LA SECCIÓN DEL PROYECTO O </w:t>
            </w:r>
            <w:proofErr w:type="gramStart"/>
            <w:r>
              <w:rPr>
                <w:rFonts w:ascii="Calibri" w:eastAsia="Times New Roman" w:hAnsi="Calibri" w:cs="Times New Roman"/>
                <w:bCs/>
                <w:color w:val="000000"/>
                <w:lang w:eastAsia="es-CL"/>
              </w:rPr>
              <w:t>COMPENDIO,  OBJETO</w:t>
            </w:r>
            <w:proofErr w:type="gramEnd"/>
            <w:r>
              <w:rPr>
                <w:rFonts w:ascii="Calibri" w:eastAsia="Times New Roman" w:hAnsi="Calibri" w:cs="Times New Roman"/>
                <w:bCs/>
                <w:color w:val="000000"/>
                <w:lang w:eastAsia="es-CL"/>
              </w:rPr>
              <w:t xml:space="preserve"> DEL COMENTARIO</w:t>
            </w:r>
          </w:p>
        </w:tc>
        <w:tc>
          <w:tcPr>
            <w:tcW w:w="283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8BADDC2"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3828"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3DA5337"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59B722A5"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B66CC0" w14:paraId="3380D810" w14:textId="77777777" w:rsidTr="00B66CC0">
        <w:trPr>
          <w:jc w:val="center"/>
        </w:trPr>
        <w:tc>
          <w:tcPr>
            <w:tcW w:w="1696" w:type="dxa"/>
            <w:tcBorders>
              <w:top w:val="single" w:sz="4" w:space="0" w:color="auto"/>
              <w:left w:val="single" w:sz="4" w:space="0" w:color="auto"/>
              <w:bottom w:val="single" w:sz="4" w:space="0" w:color="auto"/>
              <w:right w:val="single" w:sz="4" w:space="0" w:color="auto"/>
            </w:tcBorders>
          </w:tcPr>
          <w:p w14:paraId="115862DF"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6D5B977" w14:textId="77777777" w:rsidR="00B66CC0" w:rsidRDefault="00B66CC0">
            <w:pPr>
              <w:jc w:val="both"/>
              <w:textAlignment w:val="baseline"/>
              <w:rPr>
                <w:rFonts w:ascii="Calibri" w:eastAsia="Times New Roman" w:hAnsi="Calibri" w:cs="Times New Roman"/>
                <w:bCs/>
                <w:color w:val="000000"/>
                <w:lang w:eastAsia="es-CL"/>
              </w:rPr>
            </w:pPr>
          </w:p>
          <w:p w14:paraId="5038C366"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Mutualidad de Empleadores</w:t>
            </w:r>
          </w:p>
        </w:tc>
        <w:tc>
          <w:tcPr>
            <w:tcW w:w="1985" w:type="dxa"/>
            <w:tcBorders>
              <w:top w:val="single" w:sz="4" w:space="0" w:color="auto"/>
              <w:left w:val="single" w:sz="4" w:space="0" w:color="auto"/>
              <w:bottom w:val="single" w:sz="4" w:space="0" w:color="auto"/>
              <w:right w:val="single" w:sz="4" w:space="0" w:color="auto"/>
            </w:tcBorders>
          </w:tcPr>
          <w:p w14:paraId="2CAD1099"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66290AE" w14:textId="77777777" w:rsidR="00B66CC0" w:rsidRDefault="00B66CC0">
            <w:pPr>
              <w:jc w:val="both"/>
              <w:textAlignment w:val="baseline"/>
              <w:rPr>
                <w:rFonts w:ascii="Calibri" w:eastAsia="Times New Roman" w:hAnsi="Calibri" w:cs="Times New Roman"/>
                <w:bCs/>
                <w:color w:val="000000"/>
                <w:lang w:eastAsia="es-CL"/>
              </w:rPr>
            </w:pPr>
          </w:p>
          <w:p w14:paraId="0E55278D"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1984" w:type="dxa"/>
            <w:tcBorders>
              <w:top w:val="single" w:sz="4" w:space="0" w:color="auto"/>
              <w:left w:val="single" w:sz="4" w:space="0" w:color="auto"/>
              <w:bottom w:val="single" w:sz="4" w:space="0" w:color="auto"/>
              <w:right w:val="single" w:sz="4" w:space="0" w:color="auto"/>
            </w:tcBorders>
          </w:tcPr>
          <w:p w14:paraId="73DAF282"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1965E76"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70B2AACF" w14:textId="77777777" w:rsidR="00B66CC0" w:rsidRDefault="00B66CC0">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hideMark/>
          </w:tcPr>
          <w:p w14:paraId="114FAE27"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8D8D7D3"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w:t>
            </w:r>
            <w:r>
              <w:rPr>
                <w:rFonts w:ascii="Calibri" w:eastAsia="Times New Roman" w:hAnsi="Calibri" w:cs="Times New Roman"/>
                <w:bCs/>
                <w:color w:val="000000"/>
                <w:lang w:eastAsia="es-CL"/>
              </w:rPr>
              <w:lastRenderedPageBreak/>
              <w:t>Comités Paritarios, según sea el caso, con independencia de la ocurrencia o no de siniestros de accidentes del trabajo o enfermedades profesionales.</w:t>
            </w:r>
          </w:p>
        </w:tc>
        <w:tc>
          <w:tcPr>
            <w:tcW w:w="3828" w:type="dxa"/>
            <w:tcBorders>
              <w:top w:val="single" w:sz="4" w:space="0" w:color="auto"/>
              <w:left w:val="single" w:sz="4" w:space="0" w:color="auto"/>
              <w:bottom w:val="single" w:sz="4" w:space="0" w:color="auto"/>
              <w:right w:val="single" w:sz="4" w:space="0" w:color="auto"/>
            </w:tcBorders>
          </w:tcPr>
          <w:p w14:paraId="71DC8254" w14:textId="77777777" w:rsidR="00B66CC0" w:rsidRDefault="00B66CC0">
            <w:pPr>
              <w:jc w:val="both"/>
              <w:textAlignment w:val="baseline"/>
              <w:rPr>
                <w:rFonts w:ascii="Calibri" w:eastAsia="Times New Roman" w:hAnsi="Calibri" w:cs="Times New Roman"/>
                <w:bCs/>
                <w:color w:val="000000"/>
                <w:lang w:eastAsia="es-CL"/>
              </w:rPr>
            </w:pPr>
          </w:p>
        </w:tc>
      </w:tr>
      <w:tr w:rsidR="00B66CC0" w14:paraId="1C5AAAE9" w14:textId="77777777" w:rsidTr="00B66CC0">
        <w:trPr>
          <w:jc w:val="center"/>
        </w:trPr>
        <w:tc>
          <w:tcPr>
            <w:tcW w:w="1696" w:type="dxa"/>
            <w:tcBorders>
              <w:top w:val="single" w:sz="4" w:space="0" w:color="auto"/>
              <w:left w:val="single" w:sz="4" w:space="0" w:color="auto"/>
              <w:bottom w:val="single" w:sz="4" w:space="0" w:color="auto"/>
              <w:right w:val="single" w:sz="4" w:space="0" w:color="auto"/>
            </w:tcBorders>
          </w:tcPr>
          <w:p w14:paraId="70EDA7EA" w14:textId="77777777" w:rsidR="00B66CC0" w:rsidRDefault="00B66CC0">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684FAE7F" w14:textId="77777777" w:rsidR="00B66CC0" w:rsidRDefault="00B66CC0">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53E62CF4" w14:textId="77777777" w:rsidR="00B66CC0" w:rsidRDefault="00B66CC0">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40577F48" w14:textId="77777777" w:rsidR="00B66CC0" w:rsidRDefault="00B66CC0">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7BAC38C" w14:textId="77777777" w:rsidR="00B66CC0" w:rsidRDefault="00B66CC0">
            <w:pPr>
              <w:jc w:val="both"/>
              <w:textAlignment w:val="baseline"/>
              <w:rPr>
                <w:rFonts w:ascii="Calibri" w:eastAsia="Times New Roman" w:hAnsi="Calibri" w:cs="Times New Roman"/>
                <w:bCs/>
                <w:color w:val="000000"/>
                <w:lang w:eastAsia="es-CL"/>
              </w:rPr>
            </w:pPr>
          </w:p>
          <w:p w14:paraId="52ECBC42" w14:textId="77777777" w:rsidR="00B66CC0" w:rsidRDefault="00B66CC0">
            <w:pPr>
              <w:jc w:val="both"/>
              <w:textAlignment w:val="baseline"/>
              <w:rPr>
                <w:rFonts w:ascii="Calibri" w:eastAsia="Times New Roman" w:hAnsi="Calibri" w:cs="Times New Roman"/>
                <w:bCs/>
                <w:color w:val="000000"/>
                <w:lang w:eastAsia="es-CL"/>
              </w:rPr>
            </w:pPr>
          </w:p>
          <w:p w14:paraId="5EFF071E" w14:textId="77777777" w:rsidR="00B66CC0" w:rsidRDefault="00B66CC0">
            <w:pPr>
              <w:jc w:val="both"/>
              <w:textAlignment w:val="baseline"/>
              <w:rPr>
                <w:rFonts w:ascii="Calibri" w:eastAsia="Times New Roman" w:hAnsi="Calibri" w:cs="Times New Roman"/>
                <w:bCs/>
                <w:color w:val="000000"/>
                <w:lang w:eastAsia="es-CL"/>
              </w:rPr>
            </w:pPr>
          </w:p>
          <w:p w14:paraId="78C0ED40" w14:textId="77777777" w:rsidR="00B66CC0" w:rsidRDefault="00B66CC0">
            <w:pPr>
              <w:jc w:val="both"/>
              <w:textAlignment w:val="baseline"/>
              <w:rPr>
                <w:rFonts w:ascii="Calibri" w:eastAsia="Times New Roman" w:hAnsi="Calibri" w:cs="Times New Roman"/>
                <w:bCs/>
                <w:color w:val="000000"/>
                <w:lang w:eastAsia="es-CL"/>
              </w:rPr>
            </w:pPr>
          </w:p>
        </w:tc>
      </w:tr>
      <w:tr w:rsidR="005422B5" w14:paraId="330F0C0A" w14:textId="77777777" w:rsidTr="00693823">
        <w:trPr>
          <w:trHeight w:val="798"/>
          <w:jc w:val="center"/>
        </w:trPr>
        <w:tc>
          <w:tcPr>
            <w:tcW w:w="1696" w:type="dxa"/>
            <w:tcBorders>
              <w:top w:val="single" w:sz="4" w:space="0" w:color="auto"/>
              <w:left w:val="single" w:sz="4" w:space="0" w:color="auto"/>
              <w:bottom w:val="single" w:sz="4" w:space="0" w:color="auto"/>
              <w:right w:val="single" w:sz="4" w:space="0" w:color="auto"/>
            </w:tcBorders>
          </w:tcPr>
          <w:p w14:paraId="02536209" w14:textId="77777777" w:rsidR="005422B5" w:rsidRDefault="005422B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53E4B069" w14:textId="77777777" w:rsidR="005422B5" w:rsidRDefault="005422B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075099E1" w14:textId="77777777" w:rsidR="005422B5" w:rsidRDefault="005422B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3A2BFCEB" w14:textId="77777777" w:rsidR="005422B5" w:rsidRDefault="005422B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911985C" w14:textId="77777777" w:rsidR="005422B5" w:rsidRDefault="005422B5">
            <w:pPr>
              <w:jc w:val="both"/>
              <w:textAlignment w:val="baseline"/>
              <w:rPr>
                <w:rFonts w:ascii="Calibri" w:eastAsia="Times New Roman" w:hAnsi="Calibri" w:cs="Times New Roman"/>
                <w:bCs/>
                <w:color w:val="000000"/>
                <w:lang w:eastAsia="es-CL"/>
              </w:rPr>
            </w:pPr>
          </w:p>
        </w:tc>
      </w:tr>
    </w:tbl>
    <w:p w14:paraId="481B6B9E" w14:textId="128C539D" w:rsidR="00693823" w:rsidRPr="00693823" w:rsidRDefault="00693823" w:rsidP="00693823">
      <w:pPr>
        <w:tabs>
          <w:tab w:val="left" w:pos="4821"/>
        </w:tabs>
      </w:pPr>
    </w:p>
    <w:sectPr w:rsidR="00693823" w:rsidRPr="00693823" w:rsidSect="00693823">
      <w:pgSz w:w="15840" w:h="12240" w:orient="landscape"/>
      <w:pgMar w:top="1418" w:right="992" w:bottom="1185"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34D6" w14:textId="77777777" w:rsidR="001D27C7" w:rsidRDefault="001D27C7" w:rsidP="00D71695">
      <w:pPr>
        <w:spacing w:after="0" w:line="240" w:lineRule="auto"/>
      </w:pPr>
      <w:r>
        <w:separator/>
      </w:r>
    </w:p>
  </w:endnote>
  <w:endnote w:type="continuationSeparator" w:id="0">
    <w:p w14:paraId="06E6673C" w14:textId="77777777" w:rsidR="001D27C7" w:rsidRDefault="001D27C7" w:rsidP="00D7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FF1B" w14:textId="77777777" w:rsidR="001D27C7" w:rsidRDefault="001D27C7" w:rsidP="00D71695">
      <w:pPr>
        <w:spacing w:after="0" w:line="240" w:lineRule="auto"/>
      </w:pPr>
      <w:r>
        <w:separator/>
      </w:r>
    </w:p>
  </w:footnote>
  <w:footnote w:type="continuationSeparator" w:id="0">
    <w:p w14:paraId="073B710F" w14:textId="77777777" w:rsidR="001D27C7" w:rsidRDefault="001D27C7" w:rsidP="00D7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266" w14:textId="77777777" w:rsidR="00693823" w:rsidRDefault="00693823" w:rsidP="00693823">
    <w:pPr>
      <w:pStyle w:val="HeaderEven"/>
      <w:ind w:left="993"/>
      <w:rPr>
        <w:szCs w:val="20"/>
      </w:rPr>
    </w:pPr>
    <w:r w:rsidRPr="00625DAC">
      <w:rPr>
        <w:rFonts w:ascii="Times" w:eastAsia="Times New Roman" w:hAnsi="Times" w:cs="Times New Roman"/>
        <w:b w:val="0"/>
        <w:bCs w:val="0"/>
        <w:i/>
        <w:iCs/>
        <w:noProof/>
        <w:color w:val="auto"/>
        <w:sz w:val="16"/>
        <w:lang w:val="en-US" w:eastAsia="en-US"/>
      </w:rPr>
      <w:drawing>
        <wp:anchor distT="0" distB="0" distL="114300" distR="114300" simplePos="0" relativeHeight="251659264" behindDoc="0" locked="0" layoutInCell="1" allowOverlap="1" wp14:anchorId="576B6EEB" wp14:editId="4F8B18AB">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668D2B7B" w14:textId="47CE7ADC" w:rsidR="00D71695" w:rsidRPr="00693823" w:rsidRDefault="00693823" w:rsidP="00693823">
    <w:pPr>
      <w:pStyle w:val="HeaderEven"/>
      <w:ind w:left="993"/>
      <w:rPr>
        <w:szCs w:val="20"/>
      </w:rPr>
    </w:pPr>
    <w:r>
      <w:rPr>
        <w:szCs w:val="20"/>
      </w:rPr>
      <w:t>Intendencia de Seguridad y Salud en 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2312B"/>
    <w:multiLevelType w:val="hybridMultilevel"/>
    <w:tmpl w:val="DFD2107C"/>
    <w:lvl w:ilvl="0" w:tplc="DAB4D1BE">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B8"/>
    <w:rsid w:val="000350E3"/>
    <w:rsid w:val="0003791D"/>
    <w:rsid w:val="00051341"/>
    <w:rsid w:val="00057AEF"/>
    <w:rsid w:val="00060BD4"/>
    <w:rsid w:val="00086E58"/>
    <w:rsid w:val="000A2FCF"/>
    <w:rsid w:val="000B0B11"/>
    <w:rsid w:val="000B230F"/>
    <w:rsid w:val="000B718F"/>
    <w:rsid w:val="000D081C"/>
    <w:rsid w:val="000E3BA0"/>
    <w:rsid w:val="000F1B62"/>
    <w:rsid w:val="001254E1"/>
    <w:rsid w:val="00131D11"/>
    <w:rsid w:val="001423E1"/>
    <w:rsid w:val="00143CCB"/>
    <w:rsid w:val="00151F93"/>
    <w:rsid w:val="00154D9A"/>
    <w:rsid w:val="00177D91"/>
    <w:rsid w:val="00194924"/>
    <w:rsid w:val="001B1614"/>
    <w:rsid w:val="001C0F59"/>
    <w:rsid w:val="001D27C7"/>
    <w:rsid w:val="001F5B76"/>
    <w:rsid w:val="00212E3A"/>
    <w:rsid w:val="00217E38"/>
    <w:rsid w:val="00234D0F"/>
    <w:rsid w:val="00250197"/>
    <w:rsid w:val="00262F89"/>
    <w:rsid w:val="002672FB"/>
    <w:rsid w:val="002948CA"/>
    <w:rsid w:val="002D41E0"/>
    <w:rsid w:val="00312624"/>
    <w:rsid w:val="003607F7"/>
    <w:rsid w:val="003B41A1"/>
    <w:rsid w:val="003C676C"/>
    <w:rsid w:val="00442D56"/>
    <w:rsid w:val="00462F15"/>
    <w:rsid w:val="00467418"/>
    <w:rsid w:val="004869A7"/>
    <w:rsid w:val="00491050"/>
    <w:rsid w:val="0049273F"/>
    <w:rsid w:val="00495906"/>
    <w:rsid w:val="004966B9"/>
    <w:rsid w:val="004E37F0"/>
    <w:rsid w:val="005118D8"/>
    <w:rsid w:val="005422B5"/>
    <w:rsid w:val="00555C66"/>
    <w:rsid w:val="00565B3C"/>
    <w:rsid w:val="00573223"/>
    <w:rsid w:val="00620930"/>
    <w:rsid w:val="006308EF"/>
    <w:rsid w:val="00640A8A"/>
    <w:rsid w:val="00652F7A"/>
    <w:rsid w:val="00693823"/>
    <w:rsid w:val="006A1B50"/>
    <w:rsid w:val="006A5414"/>
    <w:rsid w:val="006A658F"/>
    <w:rsid w:val="006A7445"/>
    <w:rsid w:val="006C0D63"/>
    <w:rsid w:val="006D20E9"/>
    <w:rsid w:val="006D72D7"/>
    <w:rsid w:val="006E3D6E"/>
    <w:rsid w:val="007302F7"/>
    <w:rsid w:val="007355BF"/>
    <w:rsid w:val="007400C9"/>
    <w:rsid w:val="007566D7"/>
    <w:rsid w:val="0079384B"/>
    <w:rsid w:val="007A0777"/>
    <w:rsid w:val="007A4E37"/>
    <w:rsid w:val="007A7BDD"/>
    <w:rsid w:val="007B3AAA"/>
    <w:rsid w:val="007F745B"/>
    <w:rsid w:val="008119FA"/>
    <w:rsid w:val="0082108B"/>
    <w:rsid w:val="0082229F"/>
    <w:rsid w:val="00877A9B"/>
    <w:rsid w:val="00894D95"/>
    <w:rsid w:val="008C0761"/>
    <w:rsid w:val="008C15E7"/>
    <w:rsid w:val="008C7CB0"/>
    <w:rsid w:val="008E0CF4"/>
    <w:rsid w:val="00904976"/>
    <w:rsid w:val="009147AB"/>
    <w:rsid w:val="00940920"/>
    <w:rsid w:val="00943706"/>
    <w:rsid w:val="009452E9"/>
    <w:rsid w:val="00951F1C"/>
    <w:rsid w:val="009565DD"/>
    <w:rsid w:val="00960E71"/>
    <w:rsid w:val="0096279A"/>
    <w:rsid w:val="00963B0E"/>
    <w:rsid w:val="00971E13"/>
    <w:rsid w:val="00980654"/>
    <w:rsid w:val="00996D9F"/>
    <w:rsid w:val="009D7784"/>
    <w:rsid w:val="00A12162"/>
    <w:rsid w:val="00A22BC4"/>
    <w:rsid w:val="00A32AEC"/>
    <w:rsid w:val="00A40A7E"/>
    <w:rsid w:val="00AC6A1A"/>
    <w:rsid w:val="00AF75FF"/>
    <w:rsid w:val="00B37C98"/>
    <w:rsid w:val="00B521C0"/>
    <w:rsid w:val="00B60038"/>
    <w:rsid w:val="00B65933"/>
    <w:rsid w:val="00B66CC0"/>
    <w:rsid w:val="00B81841"/>
    <w:rsid w:val="00B92D8C"/>
    <w:rsid w:val="00BE3646"/>
    <w:rsid w:val="00BF3A58"/>
    <w:rsid w:val="00BF709C"/>
    <w:rsid w:val="00C1104A"/>
    <w:rsid w:val="00C12CC7"/>
    <w:rsid w:val="00C51753"/>
    <w:rsid w:val="00C57DCE"/>
    <w:rsid w:val="00C75A7C"/>
    <w:rsid w:val="00C92AFB"/>
    <w:rsid w:val="00CA0E22"/>
    <w:rsid w:val="00CC41EE"/>
    <w:rsid w:val="00CC6141"/>
    <w:rsid w:val="00CC7E0A"/>
    <w:rsid w:val="00CD14F8"/>
    <w:rsid w:val="00CD3D50"/>
    <w:rsid w:val="00D01D4C"/>
    <w:rsid w:val="00D14297"/>
    <w:rsid w:val="00D145AF"/>
    <w:rsid w:val="00D660B8"/>
    <w:rsid w:val="00D71695"/>
    <w:rsid w:val="00D846B8"/>
    <w:rsid w:val="00DB1F3F"/>
    <w:rsid w:val="00DD4889"/>
    <w:rsid w:val="00DE200A"/>
    <w:rsid w:val="00DF5163"/>
    <w:rsid w:val="00E12052"/>
    <w:rsid w:val="00E3590B"/>
    <w:rsid w:val="00E95B94"/>
    <w:rsid w:val="00EA17FB"/>
    <w:rsid w:val="00EB189C"/>
    <w:rsid w:val="00EC5339"/>
    <w:rsid w:val="00ED3711"/>
    <w:rsid w:val="00EF4BD3"/>
    <w:rsid w:val="00F335B4"/>
    <w:rsid w:val="00F50370"/>
    <w:rsid w:val="00F70803"/>
    <w:rsid w:val="00F71D10"/>
    <w:rsid w:val="00F744EB"/>
    <w:rsid w:val="00FB1205"/>
    <w:rsid w:val="00FB41CC"/>
    <w:rsid w:val="00FB4465"/>
    <w:rsid w:val="00FB73F6"/>
    <w:rsid w:val="00FD0128"/>
    <w:rsid w:val="00FE1F95"/>
    <w:rsid w:val="00FE6D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3044"/>
  <w15:docId w15:val="{C688160C-1C78-4B9B-A62E-C7C93584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6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695"/>
  </w:style>
  <w:style w:type="paragraph" w:styleId="Piedepgina">
    <w:name w:val="footer"/>
    <w:basedOn w:val="Normal"/>
    <w:link w:val="PiedepginaCar"/>
    <w:uiPriority w:val="99"/>
    <w:unhideWhenUsed/>
    <w:rsid w:val="00D716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695"/>
  </w:style>
  <w:style w:type="character" w:styleId="Refdecomentario">
    <w:name w:val="annotation reference"/>
    <w:basedOn w:val="Fuentedeprrafopredeter"/>
    <w:uiPriority w:val="99"/>
    <w:semiHidden/>
    <w:unhideWhenUsed/>
    <w:rsid w:val="00EC5339"/>
    <w:rPr>
      <w:sz w:val="16"/>
      <w:szCs w:val="16"/>
    </w:rPr>
  </w:style>
  <w:style w:type="paragraph" w:styleId="Textocomentario">
    <w:name w:val="annotation text"/>
    <w:basedOn w:val="Normal"/>
    <w:link w:val="TextocomentarioCar"/>
    <w:uiPriority w:val="99"/>
    <w:semiHidden/>
    <w:unhideWhenUsed/>
    <w:rsid w:val="00EC53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5339"/>
    <w:rPr>
      <w:sz w:val="20"/>
      <w:szCs w:val="20"/>
    </w:rPr>
  </w:style>
  <w:style w:type="paragraph" w:styleId="Asuntodelcomentario">
    <w:name w:val="annotation subject"/>
    <w:basedOn w:val="Textocomentario"/>
    <w:next w:val="Textocomentario"/>
    <w:link w:val="AsuntodelcomentarioCar"/>
    <w:uiPriority w:val="99"/>
    <w:semiHidden/>
    <w:unhideWhenUsed/>
    <w:rsid w:val="00EC5339"/>
    <w:rPr>
      <w:b/>
      <w:bCs/>
    </w:rPr>
  </w:style>
  <w:style w:type="character" w:customStyle="1" w:styleId="AsuntodelcomentarioCar">
    <w:name w:val="Asunto del comentario Car"/>
    <w:basedOn w:val="TextocomentarioCar"/>
    <w:link w:val="Asuntodelcomentario"/>
    <w:uiPriority w:val="99"/>
    <w:semiHidden/>
    <w:rsid w:val="00EC5339"/>
    <w:rPr>
      <w:b/>
      <w:bCs/>
      <w:sz w:val="20"/>
      <w:szCs w:val="20"/>
    </w:rPr>
  </w:style>
  <w:style w:type="table" w:styleId="Tablaconcuadrcula">
    <w:name w:val="Table Grid"/>
    <w:basedOn w:val="Tablanormal"/>
    <w:uiPriority w:val="59"/>
    <w:rsid w:val="00B66C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693823"/>
    <w:pPr>
      <w:pBdr>
        <w:bottom w:val="single" w:sz="4" w:space="1" w:color="5B9BD5"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693823"/>
    <w:pPr>
      <w:spacing w:after="0" w:line="240" w:lineRule="auto"/>
    </w:pPr>
  </w:style>
  <w:style w:type="character" w:styleId="Hipervnculo">
    <w:name w:val="Hyperlink"/>
    <w:basedOn w:val="Fuentedeprrafopredeter"/>
    <w:uiPriority w:val="99"/>
    <w:unhideWhenUsed/>
    <w:rsid w:val="00693823"/>
    <w:rPr>
      <w:color w:val="0563C1" w:themeColor="hyperlink"/>
      <w:u w:val="single"/>
    </w:rPr>
  </w:style>
  <w:style w:type="paragraph" w:styleId="Prrafodelista">
    <w:name w:val="List Paragraph"/>
    <w:basedOn w:val="Normal"/>
    <w:uiPriority w:val="34"/>
    <w:qFormat/>
    <w:rsid w:val="007302F7"/>
    <w:pPr>
      <w:ind w:left="720"/>
      <w:contextualSpacing/>
    </w:pPr>
    <w:rPr>
      <w:lang w:val="en-US"/>
    </w:rPr>
  </w:style>
  <w:style w:type="paragraph" w:styleId="Revisin">
    <w:name w:val="Revision"/>
    <w:hidden/>
    <w:uiPriority w:val="99"/>
    <w:semiHidden/>
    <w:rsid w:val="006E3D6E"/>
    <w:pPr>
      <w:spacing w:after="0" w:line="240" w:lineRule="auto"/>
    </w:pPr>
  </w:style>
  <w:style w:type="paragraph" w:styleId="HTMLconformatoprevio">
    <w:name w:val="HTML Preformatted"/>
    <w:basedOn w:val="Normal"/>
    <w:link w:val="HTMLconformatoprevioCar"/>
    <w:uiPriority w:val="99"/>
    <w:unhideWhenUsed/>
    <w:rsid w:val="000E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0E3BA0"/>
    <w:rPr>
      <w:rFonts w:ascii="Courier New" w:eastAsia="Times New Roman" w:hAnsi="Courier New" w:cs="Courier New"/>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5008">
      <w:bodyDiv w:val="1"/>
      <w:marLeft w:val="0"/>
      <w:marRight w:val="0"/>
      <w:marTop w:val="0"/>
      <w:marBottom w:val="0"/>
      <w:divBdr>
        <w:top w:val="none" w:sz="0" w:space="0" w:color="auto"/>
        <w:left w:val="none" w:sz="0" w:space="0" w:color="auto"/>
        <w:bottom w:val="none" w:sz="0" w:space="0" w:color="auto"/>
        <w:right w:val="none" w:sz="0" w:space="0" w:color="auto"/>
      </w:divBdr>
    </w:div>
    <w:div w:id="10139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678</Words>
  <Characters>3735</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franda sandoval riffo</dc:creator>
  <cp:lastModifiedBy>Erick Aguilera</cp:lastModifiedBy>
  <cp:revision>5</cp:revision>
  <cp:lastPrinted>2021-11-10T16:35:00Z</cp:lastPrinted>
  <dcterms:created xsi:type="dcterms:W3CDTF">2021-11-27T02:11:00Z</dcterms:created>
  <dcterms:modified xsi:type="dcterms:W3CDTF">2021-11-29T13:09:00Z</dcterms:modified>
</cp:coreProperties>
</file>