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96E8" w14:textId="6B417313" w:rsidR="00D846B8" w:rsidRPr="00693823" w:rsidRDefault="00D846B8" w:rsidP="00251611">
      <w:pPr>
        <w:spacing w:before="120" w:after="120"/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B264BC7" w14:textId="0CF2CC4A" w:rsidR="007355BF" w:rsidRDefault="00693823" w:rsidP="00251611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403B96">
        <w:rPr>
          <w:rFonts w:cstheme="minorHAnsi"/>
          <w:b/>
          <w:sz w:val="24"/>
          <w:szCs w:val="24"/>
          <w:lang w:val="es-ES"/>
        </w:rPr>
        <w:t xml:space="preserve"> </w:t>
      </w:r>
      <w:r w:rsidR="00373D69">
        <w:rPr>
          <w:rFonts w:cstheme="minorHAnsi"/>
          <w:b/>
          <w:sz w:val="24"/>
          <w:szCs w:val="24"/>
          <w:lang w:val="es-ES"/>
        </w:rPr>
        <w:t xml:space="preserve">QUE MODIFICA </w:t>
      </w:r>
      <w:r w:rsidR="00525F39">
        <w:rPr>
          <w:rFonts w:cstheme="minorHAnsi"/>
          <w:b/>
          <w:sz w:val="24"/>
          <w:szCs w:val="24"/>
          <w:lang w:val="es-ES"/>
        </w:rPr>
        <w:t xml:space="preserve">Y COMPLEMENTA </w:t>
      </w:r>
      <w:r w:rsidR="008D67C9">
        <w:rPr>
          <w:rFonts w:cstheme="minorHAnsi"/>
          <w:b/>
          <w:sz w:val="24"/>
          <w:szCs w:val="24"/>
          <w:lang w:val="es-ES"/>
        </w:rPr>
        <w:t xml:space="preserve">INSTRUCCIONES </w:t>
      </w:r>
      <w:r w:rsidR="00DF1C5A">
        <w:rPr>
          <w:rFonts w:cstheme="minorHAnsi"/>
          <w:b/>
          <w:sz w:val="24"/>
          <w:szCs w:val="24"/>
          <w:lang w:val="es-ES"/>
        </w:rPr>
        <w:t>SOBRE ACCIDENTES DEL TRABAJO FATALES Y GRAVES</w:t>
      </w:r>
    </w:p>
    <w:p w14:paraId="05C8964B" w14:textId="77777777" w:rsidR="00251611" w:rsidRPr="00693823" w:rsidRDefault="00251611" w:rsidP="00251611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64A88D5F" w14:textId="26DBAB65" w:rsidR="00373D69" w:rsidRDefault="00373D69" w:rsidP="00251611">
      <w:p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Durante el año 2021 se realizó una mesa de trabajo </w:t>
      </w:r>
      <w:r w:rsidR="000F2B6A">
        <w:rPr>
          <w:rFonts w:cstheme="minorHAnsi"/>
        </w:rPr>
        <w:t>conformada por</w:t>
      </w:r>
      <w:r>
        <w:rPr>
          <w:rFonts w:cstheme="minorHAnsi"/>
        </w:rPr>
        <w:t xml:space="preserve"> los organismos administradores</w:t>
      </w:r>
      <w:r w:rsidR="000F2B6A">
        <w:rPr>
          <w:rFonts w:cstheme="minorHAnsi"/>
        </w:rPr>
        <w:t xml:space="preserve"> del Seguro de la Ley N°16.744, en adelante los OA</w:t>
      </w:r>
      <w:r>
        <w:rPr>
          <w:rFonts w:cstheme="minorHAnsi"/>
        </w:rPr>
        <w:t xml:space="preserve">, </w:t>
      </w:r>
      <w:r w:rsidR="000F2B6A">
        <w:rPr>
          <w:rFonts w:cstheme="minorHAnsi"/>
        </w:rPr>
        <w:t xml:space="preserve">los </w:t>
      </w:r>
      <w:r>
        <w:rPr>
          <w:rFonts w:cstheme="minorHAnsi"/>
        </w:rPr>
        <w:t>organismos fiscalizadores y la Super</w:t>
      </w:r>
      <w:r w:rsidR="000F2B6A">
        <w:rPr>
          <w:rFonts w:cstheme="minorHAnsi"/>
        </w:rPr>
        <w:t>intendencia de Seguridad Social,</w:t>
      </w:r>
      <w:r>
        <w:rPr>
          <w:rFonts w:cstheme="minorHAnsi"/>
        </w:rPr>
        <w:t xml:space="preserve"> </w:t>
      </w:r>
      <w:r w:rsidR="008D67C9">
        <w:rPr>
          <w:rFonts w:cstheme="minorHAnsi"/>
        </w:rPr>
        <w:t xml:space="preserve">en la que </w:t>
      </w:r>
      <w:r w:rsidR="001B2E38">
        <w:rPr>
          <w:rFonts w:cstheme="minorHAnsi"/>
        </w:rPr>
        <w:t xml:space="preserve">se levantaron </w:t>
      </w:r>
      <w:r>
        <w:rPr>
          <w:rFonts w:cstheme="minorHAnsi"/>
        </w:rPr>
        <w:t>temas</w:t>
      </w:r>
      <w:r w:rsidR="00C546B8">
        <w:rPr>
          <w:rFonts w:cstheme="minorHAnsi"/>
        </w:rPr>
        <w:t xml:space="preserve"> </w:t>
      </w:r>
      <w:r w:rsidR="00E94E20">
        <w:rPr>
          <w:rFonts w:cstheme="minorHAnsi"/>
        </w:rPr>
        <w:t xml:space="preserve">que </w:t>
      </w:r>
      <w:r w:rsidR="00525F39">
        <w:rPr>
          <w:rFonts w:cstheme="minorHAnsi"/>
        </w:rPr>
        <w:t xml:space="preserve">requieren introducir </w:t>
      </w:r>
      <w:r w:rsidR="001B2E38">
        <w:rPr>
          <w:rFonts w:cstheme="minorHAnsi"/>
        </w:rPr>
        <w:t xml:space="preserve">modificaciones </w:t>
      </w:r>
      <w:r w:rsidR="00525F39">
        <w:rPr>
          <w:rFonts w:cstheme="minorHAnsi"/>
        </w:rPr>
        <w:t>o precisiones</w:t>
      </w:r>
      <w:r w:rsidR="00DF1C5A">
        <w:rPr>
          <w:rFonts w:cstheme="minorHAnsi"/>
        </w:rPr>
        <w:t xml:space="preserve"> en </w:t>
      </w:r>
      <w:r w:rsidR="00E94E20">
        <w:rPr>
          <w:rFonts w:cstheme="minorHAnsi"/>
        </w:rPr>
        <w:t>las instrucciones</w:t>
      </w:r>
      <w:r w:rsidR="008A4C15">
        <w:rPr>
          <w:rFonts w:cstheme="minorHAnsi"/>
        </w:rPr>
        <w:t xml:space="preserve"> sobre accidentes del trabajo graves y fatales contenidas</w:t>
      </w:r>
      <w:r w:rsidR="00F36E33">
        <w:rPr>
          <w:rFonts w:cstheme="minorHAnsi"/>
        </w:rPr>
        <w:t>,</w:t>
      </w:r>
      <w:r w:rsidR="008A4C15">
        <w:rPr>
          <w:rFonts w:cstheme="minorHAnsi"/>
        </w:rPr>
        <w:t xml:space="preserve"> </w:t>
      </w:r>
      <w:r w:rsidR="000F2B6A">
        <w:rPr>
          <w:rFonts w:cstheme="minorHAnsi"/>
        </w:rPr>
        <w:t>principalmente</w:t>
      </w:r>
      <w:r w:rsidR="00F36E33">
        <w:rPr>
          <w:rFonts w:cstheme="minorHAnsi"/>
        </w:rPr>
        <w:t>,</w:t>
      </w:r>
      <w:r w:rsidR="000F2B6A">
        <w:rPr>
          <w:rFonts w:cstheme="minorHAnsi"/>
        </w:rPr>
        <w:t xml:space="preserve"> </w:t>
      </w:r>
      <w:r w:rsidR="006D58C4">
        <w:rPr>
          <w:rFonts w:cstheme="minorHAnsi"/>
        </w:rPr>
        <w:t>en los Libros IV y IX d</w:t>
      </w:r>
      <w:r w:rsidR="008A4C15">
        <w:rPr>
          <w:rFonts w:cstheme="minorHAnsi"/>
        </w:rPr>
        <w:t xml:space="preserve">el Compendio de Normas del </w:t>
      </w:r>
      <w:r w:rsidR="000F2B6A">
        <w:rPr>
          <w:rFonts w:cstheme="minorHAnsi"/>
        </w:rPr>
        <w:t xml:space="preserve">aludido seguro. </w:t>
      </w:r>
    </w:p>
    <w:p w14:paraId="2707CA87" w14:textId="66C565A1" w:rsidR="008D67C9" w:rsidRDefault="000F2B6A" w:rsidP="00251611">
      <w:pPr>
        <w:spacing w:before="120" w:after="120" w:line="276" w:lineRule="auto"/>
        <w:jc w:val="both"/>
      </w:pPr>
      <w:r>
        <w:t>Conforme a lo anterior,</w:t>
      </w:r>
      <w:r w:rsidR="008A4C15">
        <w:t xml:space="preserve"> este proyecto </w:t>
      </w:r>
      <w:r>
        <w:t xml:space="preserve">de circular </w:t>
      </w:r>
      <w:r w:rsidR="008A4C15">
        <w:t>contempla, entre otras, las siguientes modificaciones</w:t>
      </w:r>
      <w:r w:rsidR="00DF1C5A">
        <w:t>:</w:t>
      </w:r>
      <w:r w:rsidR="008A4C15">
        <w:t xml:space="preserve"> </w:t>
      </w:r>
    </w:p>
    <w:p w14:paraId="18E38AD6" w14:textId="717DF4DD" w:rsidR="008D67C9" w:rsidRPr="009F5491" w:rsidRDefault="008D67C9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t xml:space="preserve">Se </w:t>
      </w:r>
      <w:r w:rsidR="009F5491">
        <w:t xml:space="preserve">establece que la conclusión que servirá de sustento a la aplicación del recargo de la cotización adicional diferenciada, previsto en el artículo 5° del D.S. N°67, de 1999, del MINTRAB, esto es, la falta de medidas preventivas que de haber sido tomadas por el empleador habrían evitado la ocurrencia de un accidente del trabajo fatal, debe ser consignada </w:t>
      </w:r>
      <w:r w:rsidR="008C299C">
        <w:t>en el documento electrónico de las causas del accidente (eDoc-144)</w:t>
      </w:r>
      <w:r w:rsidR="009F5491">
        <w:t>, en lugar del eDoc</w:t>
      </w:r>
      <w:r w:rsidR="008C299C">
        <w:t xml:space="preserve"> </w:t>
      </w:r>
      <w:r w:rsidR="009F5491">
        <w:t xml:space="preserve">-143. </w:t>
      </w:r>
      <w:r w:rsidR="00F6268C">
        <w:t xml:space="preserve">Asimismo, se incorpora un anexo con el formato de la comunicación que </w:t>
      </w:r>
      <w:r w:rsidR="000F2B6A">
        <w:t xml:space="preserve">los OA </w:t>
      </w:r>
      <w:r w:rsidR="00F6268C">
        <w:t>deberá</w:t>
      </w:r>
      <w:r w:rsidR="000F2B6A">
        <w:t>n</w:t>
      </w:r>
      <w:r w:rsidR="00F6268C">
        <w:t xml:space="preserve"> enviar a la</w:t>
      </w:r>
      <w:r w:rsidR="000F2B6A">
        <w:t>s</w:t>
      </w:r>
      <w:r w:rsidR="00F6268C">
        <w:t xml:space="preserve"> entidad</w:t>
      </w:r>
      <w:r w:rsidR="000F2B6A">
        <w:t>es</w:t>
      </w:r>
      <w:r w:rsidR="00F6268C">
        <w:t xml:space="preserve"> empleadora</w:t>
      </w:r>
      <w:r w:rsidR="000F2B6A">
        <w:t>s informá</w:t>
      </w:r>
      <w:r w:rsidR="00F6268C">
        <w:t>ndo</w:t>
      </w:r>
      <w:r w:rsidR="000F2B6A">
        <w:t>les</w:t>
      </w:r>
      <w:r w:rsidR="00F6268C">
        <w:t xml:space="preserve"> que </w:t>
      </w:r>
      <w:r w:rsidR="000F2B6A">
        <w:t xml:space="preserve">le </w:t>
      </w:r>
      <w:r w:rsidR="00F6268C">
        <w:t>aplicará</w:t>
      </w:r>
      <w:r w:rsidR="000F2B6A">
        <w:t>n</w:t>
      </w:r>
      <w:r w:rsidR="00F6268C">
        <w:t xml:space="preserve"> dicho recargo en el próximo proceso de evaluación de siniestralidad efectiva.</w:t>
      </w:r>
    </w:p>
    <w:p w14:paraId="1826555D" w14:textId="11A59FC3" w:rsidR="00E1528D" w:rsidRDefault="00E1528D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 instruye a los OA prescribir la aplicación o revisión de </w:t>
      </w:r>
      <w:r w:rsidRPr="00C743E5">
        <w:rPr>
          <w:rFonts w:cstheme="minorHAnsi"/>
        </w:rPr>
        <w:t>la matriz de identificación de p</w:t>
      </w:r>
      <w:r>
        <w:rPr>
          <w:rFonts w:cstheme="minorHAnsi"/>
        </w:rPr>
        <w:t>eligros y evaluación de riesgos, respecto de todo accidente del trabajo fatal o grave, sin perjuicio de las medidas correctivas que deban prescribir respecto de las causas determinadas en la investigación del accidente.</w:t>
      </w:r>
    </w:p>
    <w:p w14:paraId="2518A9FE" w14:textId="1A13C62B" w:rsidR="00A15379" w:rsidRPr="009F5491" w:rsidRDefault="008D67C9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9F5491">
        <w:rPr>
          <w:rFonts w:cstheme="minorHAnsi"/>
        </w:rPr>
        <w:t>S</w:t>
      </w:r>
      <w:r w:rsidR="00E705C8" w:rsidRPr="009F5491">
        <w:rPr>
          <w:rFonts w:cstheme="minorHAnsi"/>
        </w:rPr>
        <w:t>e</w:t>
      </w:r>
      <w:r w:rsidRPr="009F5491">
        <w:rPr>
          <w:rFonts w:cstheme="minorHAnsi"/>
        </w:rPr>
        <w:t xml:space="preserve"> establece la obligación de</w:t>
      </w:r>
      <w:r w:rsidR="00C743E5" w:rsidRPr="009F5491">
        <w:rPr>
          <w:rFonts w:cstheme="minorHAnsi"/>
        </w:rPr>
        <w:t xml:space="preserve">l empleador </w:t>
      </w:r>
      <w:r w:rsidR="009F5491">
        <w:rPr>
          <w:rFonts w:cstheme="minorHAnsi"/>
        </w:rPr>
        <w:t xml:space="preserve">de </w:t>
      </w:r>
      <w:r w:rsidRPr="009F5491">
        <w:rPr>
          <w:rFonts w:cstheme="minorHAnsi"/>
        </w:rPr>
        <w:t xml:space="preserve">suspender faenas y </w:t>
      </w:r>
      <w:r w:rsidR="009F5491">
        <w:rPr>
          <w:rFonts w:cstheme="minorHAnsi"/>
        </w:rPr>
        <w:t xml:space="preserve">de </w:t>
      </w:r>
      <w:r w:rsidR="00A15379" w:rsidRPr="009F5491">
        <w:rPr>
          <w:rFonts w:cstheme="minorHAnsi"/>
        </w:rPr>
        <w:t xml:space="preserve">notificar a los fiscalizadores </w:t>
      </w:r>
      <w:r w:rsidR="00C546B8">
        <w:rPr>
          <w:rFonts w:cstheme="minorHAnsi"/>
        </w:rPr>
        <w:t>los accidentes que se indican</w:t>
      </w:r>
      <w:r w:rsidR="00E94E20">
        <w:rPr>
          <w:rFonts w:cstheme="minorHAnsi"/>
        </w:rPr>
        <w:t>,</w:t>
      </w:r>
      <w:r w:rsidR="00A930E7">
        <w:rPr>
          <w:rFonts w:cstheme="minorHAnsi"/>
        </w:rPr>
        <w:t xml:space="preserve"> </w:t>
      </w:r>
      <w:r w:rsidR="009E55D9">
        <w:rPr>
          <w:rFonts w:cstheme="minorHAnsi"/>
        </w:rPr>
        <w:t xml:space="preserve">en los </w:t>
      </w:r>
      <w:r w:rsidR="00A930E7">
        <w:rPr>
          <w:rFonts w:cstheme="minorHAnsi"/>
        </w:rPr>
        <w:t>que</w:t>
      </w:r>
      <w:r w:rsidR="009E55D9">
        <w:rPr>
          <w:rFonts w:cstheme="minorHAnsi"/>
        </w:rPr>
        <w:t xml:space="preserve"> los trabajadores involucrados </w:t>
      </w:r>
      <w:r w:rsidR="00533104">
        <w:rPr>
          <w:rFonts w:cstheme="minorHAnsi"/>
        </w:rPr>
        <w:t xml:space="preserve">no evidencien </w:t>
      </w:r>
      <w:r w:rsidR="00444AEA">
        <w:rPr>
          <w:rFonts w:cstheme="minorHAnsi"/>
        </w:rPr>
        <w:t xml:space="preserve">una </w:t>
      </w:r>
      <w:r w:rsidR="00533104">
        <w:rPr>
          <w:rFonts w:cstheme="minorHAnsi"/>
        </w:rPr>
        <w:t>lesi</w:t>
      </w:r>
      <w:r w:rsidR="00444AEA">
        <w:rPr>
          <w:rFonts w:cstheme="minorHAnsi"/>
        </w:rPr>
        <w:t>ón</w:t>
      </w:r>
      <w:r w:rsidR="00533104">
        <w:rPr>
          <w:rFonts w:cstheme="minorHAnsi"/>
        </w:rPr>
        <w:t xml:space="preserve"> a simple vista,</w:t>
      </w:r>
      <w:r w:rsidR="00A930E7">
        <w:rPr>
          <w:rFonts w:cstheme="minorHAnsi"/>
        </w:rPr>
        <w:t xml:space="preserve"> </w:t>
      </w:r>
      <w:r w:rsidR="00533104">
        <w:rPr>
          <w:rFonts w:cstheme="minorHAnsi"/>
        </w:rPr>
        <w:t>y derivarlo a</w:t>
      </w:r>
      <w:r w:rsidR="00E94E20" w:rsidRPr="009F5491">
        <w:rPr>
          <w:rFonts w:cstheme="minorHAnsi"/>
        </w:rPr>
        <w:t xml:space="preserve">l </w:t>
      </w:r>
      <w:r w:rsidR="000F2B6A">
        <w:rPr>
          <w:rFonts w:cstheme="minorHAnsi"/>
        </w:rPr>
        <w:t xml:space="preserve">respectivo </w:t>
      </w:r>
      <w:r w:rsidR="00E94E20" w:rsidRPr="009F5491">
        <w:rPr>
          <w:rFonts w:cstheme="minorHAnsi"/>
        </w:rPr>
        <w:t>OA</w:t>
      </w:r>
      <w:r w:rsidR="00A930E7">
        <w:rPr>
          <w:rFonts w:cstheme="minorHAnsi"/>
        </w:rPr>
        <w:t xml:space="preserve"> </w:t>
      </w:r>
      <w:r w:rsidR="00533104">
        <w:rPr>
          <w:rFonts w:cstheme="minorHAnsi"/>
        </w:rPr>
        <w:t>para que determine la existencia o no de lesiones</w:t>
      </w:r>
      <w:r w:rsidR="009F5491" w:rsidRPr="009F5491">
        <w:rPr>
          <w:rFonts w:cstheme="minorHAnsi"/>
        </w:rPr>
        <w:t>. R</w:t>
      </w:r>
      <w:r w:rsidR="00A15379" w:rsidRPr="009F5491">
        <w:rPr>
          <w:rFonts w:cstheme="minorHAnsi"/>
        </w:rPr>
        <w:t xml:space="preserve">especto de </w:t>
      </w:r>
      <w:r w:rsidR="00533104">
        <w:rPr>
          <w:rFonts w:cstheme="minorHAnsi"/>
        </w:rPr>
        <w:t xml:space="preserve">los </w:t>
      </w:r>
      <w:r w:rsidR="00A15379" w:rsidRPr="009F5491">
        <w:rPr>
          <w:rFonts w:cstheme="minorHAnsi"/>
        </w:rPr>
        <w:t>siniestros</w:t>
      </w:r>
      <w:r w:rsidR="00533104">
        <w:rPr>
          <w:rFonts w:cstheme="minorHAnsi"/>
        </w:rPr>
        <w:t xml:space="preserve"> en que se descarta la existencia de lesiones</w:t>
      </w:r>
      <w:r w:rsidR="00A15379" w:rsidRPr="009F5491">
        <w:rPr>
          <w:rFonts w:cstheme="minorHAnsi"/>
        </w:rPr>
        <w:t xml:space="preserve">, se dispone que es deber de los </w:t>
      </w:r>
      <w:r w:rsidR="009F5491" w:rsidRPr="009F5491">
        <w:rPr>
          <w:rFonts w:cstheme="minorHAnsi"/>
        </w:rPr>
        <w:t>OA</w:t>
      </w:r>
      <w:r w:rsidR="00A15379" w:rsidRPr="009F5491">
        <w:rPr>
          <w:rFonts w:cstheme="minorHAnsi"/>
        </w:rPr>
        <w:t xml:space="preserve"> enviar los documentos de notificación provisoria (eDoc 141) y de</w:t>
      </w:r>
      <w:r w:rsidR="00E1528D">
        <w:rPr>
          <w:rFonts w:cstheme="minorHAnsi"/>
        </w:rPr>
        <w:t xml:space="preserve"> medidas inmediatas (eDoc -142), y prescribir la aplicación o revisión de la referida matriz.</w:t>
      </w:r>
    </w:p>
    <w:p w14:paraId="6F0EE8FF" w14:textId="4C94D80C" w:rsidR="008D67C9" w:rsidRDefault="00C743E5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Se incorpora una def</w:t>
      </w:r>
      <w:r w:rsidR="000F2B6A">
        <w:rPr>
          <w:rFonts w:cstheme="minorHAnsi"/>
        </w:rPr>
        <w:t xml:space="preserve">inición de “medida inmediata” e indica </w:t>
      </w:r>
      <w:r>
        <w:rPr>
          <w:rFonts w:cstheme="minorHAnsi"/>
        </w:rPr>
        <w:t xml:space="preserve">su objetivo </w:t>
      </w:r>
      <w:r w:rsidR="005220AA">
        <w:rPr>
          <w:rFonts w:cstheme="minorHAnsi"/>
        </w:rPr>
        <w:t xml:space="preserve">en el contexto de los </w:t>
      </w:r>
      <w:r>
        <w:rPr>
          <w:rFonts w:cstheme="minorHAnsi"/>
        </w:rPr>
        <w:t>accidente</w:t>
      </w:r>
      <w:r w:rsidR="005220AA">
        <w:rPr>
          <w:rFonts w:cstheme="minorHAnsi"/>
        </w:rPr>
        <w:t>s</w:t>
      </w:r>
      <w:r>
        <w:rPr>
          <w:rFonts w:cstheme="minorHAnsi"/>
        </w:rPr>
        <w:t xml:space="preserve"> del trabajo fatal o grave.</w:t>
      </w:r>
    </w:p>
    <w:p w14:paraId="5F520128" w14:textId="5A7419DB" w:rsidR="00220726" w:rsidRDefault="00320609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320609">
        <w:rPr>
          <w:rFonts w:cstheme="minorHAnsi"/>
        </w:rPr>
        <w:t xml:space="preserve">Se precisa que el registro de las actividades de difusión </w:t>
      </w:r>
      <w:r w:rsidR="000F2B6A">
        <w:rPr>
          <w:rFonts w:cstheme="minorHAnsi"/>
        </w:rPr>
        <w:t xml:space="preserve">que los OA deben realizar sobre </w:t>
      </w:r>
      <w:r w:rsidRPr="00320609">
        <w:rPr>
          <w:rFonts w:cstheme="minorHAnsi"/>
        </w:rPr>
        <w:t xml:space="preserve">las causas y medidas prescritas respecto de un accidente del trabajo fatal o grave, </w:t>
      </w:r>
      <w:r w:rsidR="00BF161A">
        <w:rPr>
          <w:rFonts w:cstheme="minorHAnsi"/>
        </w:rPr>
        <w:t>en lugar de</w:t>
      </w:r>
      <w:r w:rsidR="00220726">
        <w:rPr>
          <w:rFonts w:cstheme="minorHAnsi"/>
        </w:rPr>
        <w:t xml:space="preserve"> enviarlo a la Superintendencia de Seguridad Social</w:t>
      </w:r>
      <w:r w:rsidR="00BF161A">
        <w:rPr>
          <w:rFonts w:cstheme="minorHAnsi"/>
        </w:rPr>
        <w:t>, deberá</w:t>
      </w:r>
      <w:r w:rsidR="000F2B6A">
        <w:rPr>
          <w:rFonts w:cstheme="minorHAnsi"/>
        </w:rPr>
        <w:t>n</w:t>
      </w:r>
      <w:r w:rsidR="00BF161A">
        <w:rPr>
          <w:rFonts w:cstheme="minorHAnsi"/>
        </w:rPr>
        <w:t xml:space="preserve"> mantener</w:t>
      </w:r>
      <w:r w:rsidR="000F2B6A">
        <w:rPr>
          <w:rFonts w:cstheme="minorHAnsi"/>
        </w:rPr>
        <w:t>lo</w:t>
      </w:r>
      <w:r w:rsidRPr="00320609">
        <w:rPr>
          <w:rFonts w:cstheme="minorHAnsi"/>
        </w:rPr>
        <w:t xml:space="preserve"> a </w:t>
      </w:r>
      <w:r w:rsidR="00220726">
        <w:rPr>
          <w:rFonts w:cstheme="minorHAnsi"/>
        </w:rPr>
        <w:t xml:space="preserve">su </w:t>
      </w:r>
      <w:r w:rsidRPr="00320609">
        <w:rPr>
          <w:rFonts w:cstheme="minorHAnsi"/>
        </w:rPr>
        <w:t>disposición</w:t>
      </w:r>
      <w:r w:rsidR="00BF161A">
        <w:rPr>
          <w:rFonts w:cstheme="minorHAnsi"/>
        </w:rPr>
        <w:t>.</w:t>
      </w:r>
    </w:p>
    <w:p w14:paraId="2E7C3E46" w14:textId="00B38869" w:rsidR="00320609" w:rsidRDefault="00220726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Respecto de los accidentes del trabajo fatal o grave, cuya calificación como accidentes de origen común, es revertida por la Superintendencia, se precisan las acciones a realizar dependiendo de </w:t>
      </w:r>
      <w:proofErr w:type="gramStart"/>
      <w:r>
        <w:rPr>
          <w:rFonts w:cstheme="minorHAnsi"/>
        </w:rPr>
        <w:t>si  a</w:t>
      </w:r>
      <w:proofErr w:type="gramEnd"/>
      <w:r>
        <w:rPr>
          <w:rFonts w:cstheme="minorHAnsi"/>
        </w:rPr>
        <w:t xml:space="preserve"> la fecha </w:t>
      </w:r>
      <w:r w:rsidR="008675C2">
        <w:rPr>
          <w:rFonts w:cstheme="minorHAnsi"/>
        </w:rPr>
        <w:t>en que se instruya modificar la</w:t>
      </w:r>
      <w:r>
        <w:rPr>
          <w:rFonts w:cstheme="minorHAnsi"/>
        </w:rPr>
        <w:t xml:space="preserve"> calificación,</w:t>
      </w:r>
      <w:r w:rsidR="008223B2">
        <w:rPr>
          <w:rFonts w:cstheme="minorHAnsi"/>
        </w:rPr>
        <w:t xml:space="preserve"> </w:t>
      </w:r>
      <w:r w:rsidR="000F2B6A">
        <w:rPr>
          <w:rFonts w:cstheme="minorHAnsi"/>
        </w:rPr>
        <w:t xml:space="preserve">han </w:t>
      </w:r>
      <w:r>
        <w:rPr>
          <w:rFonts w:cstheme="minorHAnsi"/>
        </w:rPr>
        <w:t>transcurrido más 6 meses desde el accidente.</w:t>
      </w:r>
    </w:p>
    <w:p w14:paraId="09C6C6AC" w14:textId="77777777" w:rsidR="006D58C4" w:rsidRDefault="006D58C4" w:rsidP="00251611">
      <w:pPr>
        <w:spacing w:before="120" w:after="120" w:line="276" w:lineRule="auto"/>
        <w:jc w:val="both"/>
        <w:rPr>
          <w:rFonts w:cstheme="minorHAnsi"/>
        </w:rPr>
      </w:pPr>
    </w:p>
    <w:p w14:paraId="60B41B1B" w14:textId="77777777" w:rsidR="006D58C4" w:rsidRPr="006D58C4" w:rsidRDefault="006D58C4" w:rsidP="00251611">
      <w:pPr>
        <w:spacing w:before="120" w:after="120" w:line="276" w:lineRule="auto"/>
        <w:jc w:val="both"/>
        <w:rPr>
          <w:rFonts w:cstheme="minorHAnsi"/>
        </w:rPr>
      </w:pPr>
    </w:p>
    <w:p w14:paraId="5AAB4B0E" w14:textId="77777777" w:rsidR="00251611" w:rsidRDefault="00251611" w:rsidP="00251611">
      <w:pPr>
        <w:pStyle w:val="Prrafodelista"/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</w:p>
    <w:p w14:paraId="5993F977" w14:textId="77777777" w:rsidR="00251611" w:rsidRDefault="00251611" w:rsidP="00251611">
      <w:pPr>
        <w:pStyle w:val="Prrafodelista"/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</w:p>
    <w:p w14:paraId="76B31513" w14:textId="73E72932" w:rsidR="008675C2" w:rsidRPr="00320609" w:rsidRDefault="008675C2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En caso que la entidad empleadora obstruya o dificulte la investigación del accidente fatal o grave, se establece que el OA debe</w:t>
      </w:r>
      <w:r w:rsidR="00686D3B">
        <w:rPr>
          <w:rFonts w:cstheme="minorHAnsi"/>
        </w:rPr>
        <w:t>rá</w:t>
      </w:r>
      <w:r>
        <w:rPr>
          <w:rFonts w:cstheme="minorHAnsi"/>
        </w:rPr>
        <w:t xml:space="preserve"> prescribirle</w:t>
      </w:r>
      <w:r w:rsidR="00686D3B">
        <w:rPr>
          <w:rFonts w:cstheme="minorHAnsi"/>
        </w:rPr>
        <w:t xml:space="preserve"> </w:t>
      </w:r>
      <w:r>
        <w:rPr>
          <w:rFonts w:cstheme="minorHAnsi"/>
        </w:rPr>
        <w:t>o</w:t>
      </w:r>
      <w:r w:rsidR="000F2B6A">
        <w:rPr>
          <w:rFonts w:cstheme="minorHAnsi"/>
        </w:rPr>
        <w:t>torgar,</w:t>
      </w:r>
      <w:r>
        <w:rPr>
          <w:rFonts w:cstheme="minorHAnsi"/>
        </w:rPr>
        <w:t xml:space="preserve"> </w:t>
      </w:r>
      <w:r w:rsidR="000F2B6A">
        <w:rPr>
          <w:rFonts w:cstheme="minorHAnsi"/>
        </w:rPr>
        <w:t xml:space="preserve">dentro de un plazo no superior </w:t>
      </w:r>
      <w:proofErr w:type="gramStart"/>
      <w:r w:rsidR="000F2B6A">
        <w:rPr>
          <w:rFonts w:cstheme="minorHAnsi"/>
        </w:rPr>
        <w:t>a  5</w:t>
      </w:r>
      <w:proofErr w:type="gramEnd"/>
      <w:r w:rsidR="000F2B6A">
        <w:rPr>
          <w:rFonts w:cstheme="minorHAnsi"/>
        </w:rPr>
        <w:t xml:space="preserve"> días hábiles, </w:t>
      </w:r>
      <w:r>
        <w:rPr>
          <w:rFonts w:cstheme="minorHAnsi"/>
        </w:rPr>
        <w:t xml:space="preserve">las facilidades </w:t>
      </w:r>
      <w:r w:rsidR="000F2B6A">
        <w:rPr>
          <w:rFonts w:cstheme="minorHAnsi"/>
        </w:rPr>
        <w:t>necesarias para realizar dicho proceso</w:t>
      </w:r>
      <w:r>
        <w:rPr>
          <w:rFonts w:cstheme="minorHAnsi"/>
        </w:rPr>
        <w:t xml:space="preserve"> y </w:t>
      </w:r>
      <w:r w:rsidR="000F2B6A" w:rsidRPr="008675C2">
        <w:rPr>
          <w:rFonts w:cstheme="minorHAnsi"/>
        </w:rPr>
        <w:t>recargarle inm</w:t>
      </w:r>
      <w:r w:rsidR="000F2B6A">
        <w:rPr>
          <w:rFonts w:cstheme="minorHAnsi"/>
        </w:rPr>
        <w:t xml:space="preserve">ediatamente su tasa de </w:t>
      </w:r>
      <w:r w:rsidR="000F2B6A" w:rsidRPr="008675C2">
        <w:rPr>
          <w:rFonts w:cstheme="minorHAnsi"/>
        </w:rPr>
        <w:t>cotización adicional diferenciada</w:t>
      </w:r>
      <w:r w:rsidR="000F2B6A">
        <w:rPr>
          <w:rFonts w:cstheme="minorHAnsi"/>
        </w:rPr>
        <w:t xml:space="preserve">,  </w:t>
      </w:r>
      <w:r>
        <w:rPr>
          <w:rFonts w:cstheme="minorHAnsi"/>
        </w:rPr>
        <w:t>si al término de e</w:t>
      </w:r>
      <w:r w:rsidR="000F2B6A">
        <w:rPr>
          <w:rFonts w:cstheme="minorHAnsi"/>
        </w:rPr>
        <w:t>se plazo persiste en su actitud.</w:t>
      </w:r>
      <w:r w:rsidR="00D30481">
        <w:rPr>
          <w:rFonts w:cstheme="minorHAnsi"/>
        </w:rPr>
        <w:t xml:space="preserve"> Sin perjuicio de lo anterior, se instruye notificar de esta situación a los organismos fiscalizadores.</w:t>
      </w:r>
    </w:p>
    <w:p w14:paraId="31BD109D" w14:textId="3DD8BA50" w:rsidR="005F54B7" w:rsidRDefault="005F54B7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 mantiene la obligación de </w:t>
      </w:r>
      <w:r w:rsidR="00EC268B">
        <w:rPr>
          <w:rFonts w:cstheme="minorHAnsi"/>
        </w:rPr>
        <w:t xml:space="preserve">enviar al </w:t>
      </w:r>
      <w:r>
        <w:rPr>
          <w:rFonts w:cstheme="minorHAnsi"/>
        </w:rPr>
        <w:t>RALF</w:t>
      </w:r>
      <w:r w:rsidR="00EC268B">
        <w:rPr>
          <w:rFonts w:cstheme="minorHAnsi"/>
        </w:rPr>
        <w:t xml:space="preserve"> los eDoc 141 a 147</w:t>
      </w:r>
      <w:r>
        <w:rPr>
          <w:rFonts w:cstheme="minorHAnsi"/>
        </w:rPr>
        <w:t xml:space="preserve">, </w:t>
      </w:r>
      <w:r w:rsidR="0016793F">
        <w:rPr>
          <w:rFonts w:cstheme="minorHAnsi"/>
        </w:rPr>
        <w:t xml:space="preserve">si un </w:t>
      </w:r>
      <w:r>
        <w:rPr>
          <w:rFonts w:cstheme="minorHAnsi"/>
        </w:rPr>
        <w:t>trabajador fallece</w:t>
      </w:r>
      <w:r w:rsidR="00D30481">
        <w:rPr>
          <w:rFonts w:cstheme="minorHAnsi"/>
        </w:rPr>
        <w:t xml:space="preserve"> (</w:t>
      </w:r>
      <w:r w:rsidR="00EC268B">
        <w:rPr>
          <w:rFonts w:cstheme="minorHAnsi"/>
        </w:rPr>
        <w:t>no inmediatamente</w:t>
      </w:r>
      <w:r w:rsidR="00D30481">
        <w:rPr>
          <w:rFonts w:cstheme="minorHAnsi"/>
        </w:rPr>
        <w:t>)</w:t>
      </w:r>
      <w:r w:rsidR="00EC268B">
        <w:rPr>
          <w:rFonts w:cstheme="minorHAnsi"/>
        </w:rPr>
        <w:t xml:space="preserve"> </w:t>
      </w:r>
      <w:r>
        <w:rPr>
          <w:rFonts w:cstheme="minorHAnsi"/>
        </w:rPr>
        <w:t>producto de un accidente que</w:t>
      </w:r>
      <w:r w:rsidR="00D30481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30481">
        <w:rPr>
          <w:rFonts w:cstheme="minorHAnsi"/>
        </w:rPr>
        <w:t xml:space="preserve">según los criterios del Capítulo I, Letra D, Título I, Libro IV del Compendio, </w:t>
      </w:r>
      <w:r>
        <w:rPr>
          <w:rFonts w:cstheme="minorHAnsi"/>
        </w:rPr>
        <w:t xml:space="preserve">no </w:t>
      </w:r>
      <w:r w:rsidR="00EC268B">
        <w:rPr>
          <w:rFonts w:cstheme="minorHAnsi"/>
        </w:rPr>
        <w:t>reviste el carácter grave</w:t>
      </w:r>
      <w:r>
        <w:rPr>
          <w:rFonts w:cstheme="minorHAnsi"/>
        </w:rPr>
        <w:t xml:space="preserve">. Sin embargo, se amplía de 30 días a 6 meses, el plazo dentro del cual debe ocurrir el </w:t>
      </w:r>
      <w:r w:rsidR="00E1528D">
        <w:rPr>
          <w:rFonts w:cstheme="minorHAnsi"/>
        </w:rPr>
        <w:t>deceso</w:t>
      </w:r>
      <w:r w:rsidR="0016793F">
        <w:rPr>
          <w:rFonts w:cstheme="minorHAnsi"/>
        </w:rPr>
        <w:t xml:space="preserve"> para que aquello sea exigible</w:t>
      </w:r>
      <w:r>
        <w:rPr>
          <w:rFonts w:cstheme="minorHAnsi"/>
        </w:rPr>
        <w:t>.</w:t>
      </w:r>
      <w:r w:rsidR="00525F39">
        <w:rPr>
          <w:rFonts w:cstheme="minorHAnsi"/>
        </w:rPr>
        <w:t xml:space="preserve"> </w:t>
      </w:r>
      <w:r w:rsidR="0016793F">
        <w:rPr>
          <w:rFonts w:cstheme="minorHAnsi"/>
        </w:rPr>
        <w:t xml:space="preserve">En el mismo supuesto (accidente </w:t>
      </w:r>
      <w:r w:rsidR="00D30481">
        <w:rPr>
          <w:rFonts w:cstheme="minorHAnsi"/>
        </w:rPr>
        <w:t xml:space="preserve">del trabajo </w:t>
      </w:r>
      <w:r w:rsidR="0016793F">
        <w:rPr>
          <w:rFonts w:cstheme="minorHAnsi"/>
        </w:rPr>
        <w:t xml:space="preserve">no grave) se establece que solo se debe enviar la notificación provisoria (eDoc-141), si </w:t>
      </w:r>
      <w:r w:rsidR="00525F39">
        <w:rPr>
          <w:rFonts w:cstheme="minorHAnsi"/>
        </w:rPr>
        <w:t>el trabajador fallece entre el</w:t>
      </w:r>
      <w:r>
        <w:rPr>
          <w:rFonts w:cstheme="minorHAnsi"/>
        </w:rPr>
        <w:t xml:space="preserve"> </w:t>
      </w:r>
      <w:r w:rsidR="00525F39">
        <w:rPr>
          <w:rFonts w:cstheme="minorHAnsi"/>
        </w:rPr>
        <w:t>7° y el 12°</w:t>
      </w:r>
      <w:r w:rsidR="0016793F">
        <w:rPr>
          <w:rFonts w:cstheme="minorHAnsi"/>
        </w:rPr>
        <w:t xml:space="preserve"> mes siguiente a su ocurrencia.</w:t>
      </w:r>
    </w:p>
    <w:p w14:paraId="19986C5D" w14:textId="324A236A" w:rsidR="0016793F" w:rsidRPr="00F6268C" w:rsidRDefault="0016793F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F6268C">
        <w:rPr>
          <w:rFonts w:cstheme="minorHAnsi"/>
        </w:rPr>
        <w:t xml:space="preserve">De igual modo, </w:t>
      </w:r>
      <w:r w:rsidR="008A4C15">
        <w:rPr>
          <w:rFonts w:cstheme="minorHAnsi"/>
        </w:rPr>
        <w:t xml:space="preserve">cuando </w:t>
      </w:r>
      <w:r w:rsidRPr="00F6268C">
        <w:rPr>
          <w:rFonts w:cstheme="minorHAnsi"/>
        </w:rPr>
        <w:t>producto de un accidente del trabajo que</w:t>
      </w:r>
      <w:r w:rsidR="008A4C15">
        <w:rPr>
          <w:rFonts w:cstheme="minorHAnsi"/>
        </w:rPr>
        <w:t>,</w:t>
      </w:r>
      <w:r w:rsidRPr="00F6268C">
        <w:rPr>
          <w:rFonts w:cstheme="minorHAnsi"/>
        </w:rPr>
        <w:t xml:space="preserve"> </w:t>
      </w:r>
      <w:r w:rsidR="008A4C15" w:rsidRPr="00F6268C">
        <w:rPr>
          <w:rFonts w:cstheme="minorHAnsi"/>
        </w:rPr>
        <w:t xml:space="preserve">conforme a los criterios </w:t>
      </w:r>
      <w:r w:rsidR="008A4C15">
        <w:rPr>
          <w:rFonts w:cstheme="minorHAnsi"/>
        </w:rPr>
        <w:t>de</w:t>
      </w:r>
      <w:r w:rsidR="008A4C15" w:rsidRPr="00F6268C">
        <w:rPr>
          <w:rFonts w:cstheme="minorHAnsi"/>
        </w:rPr>
        <w:t>l mencionado Capítulo I</w:t>
      </w:r>
      <w:r w:rsidR="008A4C15">
        <w:rPr>
          <w:rFonts w:cstheme="minorHAnsi"/>
        </w:rPr>
        <w:t>,</w:t>
      </w:r>
      <w:r w:rsidR="008A4C15" w:rsidRPr="00F6268C">
        <w:rPr>
          <w:rFonts w:cstheme="minorHAnsi"/>
        </w:rPr>
        <w:t xml:space="preserve"> </w:t>
      </w:r>
      <w:r w:rsidRPr="00F6268C">
        <w:rPr>
          <w:rFonts w:cstheme="minorHAnsi"/>
        </w:rPr>
        <w:t>sí reviste el ca</w:t>
      </w:r>
      <w:r w:rsidR="00A75457" w:rsidRPr="00F6268C">
        <w:rPr>
          <w:rFonts w:cstheme="minorHAnsi"/>
        </w:rPr>
        <w:t>rácter de grave, un trabajador fallece dentro de los 12 meses</w:t>
      </w:r>
      <w:r w:rsidR="00F6268C">
        <w:rPr>
          <w:rFonts w:cstheme="minorHAnsi"/>
        </w:rPr>
        <w:t xml:space="preserve"> </w:t>
      </w:r>
      <w:r w:rsidR="00A75457" w:rsidRPr="00F6268C">
        <w:rPr>
          <w:rFonts w:cstheme="minorHAnsi"/>
        </w:rPr>
        <w:t>siguientes a su ocurrencia, se establece la obligación de concluir el proceso RALF</w:t>
      </w:r>
      <w:r w:rsidR="008A4C15">
        <w:rPr>
          <w:rFonts w:cstheme="minorHAnsi"/>
        </w:rPr>
        <w:t>,</w:t>
      </w:r>
      <w:r w:rsidR="00A75457" w:rsidRPr="00F6268C">
        <w:rPr>
          <w:rFonts w:cstheme="minorHAnsi"/>
        </w:rPr>
        <w:t xml:space="preserve"> si la fecha del deceso aún se encuentra pendiente y de reenviar el eDoc 141 (notificación provisoria) para el registro de su muerte.</w:t>
      </w:r>
    </w:p>
    <w:p w14:paraId="5D5AE544" w14:textId="6AAA32A8" w:rsidR="00A75457" w:rsidRDefault="0016793F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A su vez, se incorpora la obligación de enviar al RALF los documentos señalados e</w:t>
      </w:r>
      <w:r w:rsidR="00A75457">
        <w:rPr>
          <w:rFonts w:cstheme="minorHAnsi"/>
        </w:rPr>
        <w:t>n</w:t>
      </w:r>
      <w:r>
        <w:rPr>
          <w:rFonts w:cstheme="minorHAnsi"/>
        </w:rPr>
        <w:t xml:space="preserve"> la letra</w:t>
      </w:r>
      <w:r w:rsidR="00320609">
        <w:rPr>
          <w:rFonts w:cstheme="minorHAnsi"/>
        </w:rPr>
        <w:t xml:space="preserve"> </w:t>
      </w:r>
      <w:r w:rsidR="006D58C4">
        <w:rPr>
          <w:rFonts w:cstheme="minorHAnsi"/>
        </w:rPr>
        <w:t>h</w:t>
      </w:r>
      <w:r w:rsidR="008A4C15">
        <w:rPr>
          <w:rFonts w:cstheme="minorHAnsi"/>
        </w:rPr>
        <w:t>)</w:t>
      </w:r>
      <w:r>
        <w:rPr>
          <w:rFonts w:cstheme="minorHAnsi"/>
        </w:rPr>
        <w:t xml:space="preserve"> anterior, cuando el OA</w:t>
      </w:r>
      <w:r w:rsidR="008A4C15">
        <w:rPr>
          <w:rFonts w:cstheme="minorHAnsi"/>
        </w:rPr>
        <w:t xml:space="preserve"> toma conocimiento tardíamente d</w:t>
      </w:r>
      <w:r>
        <w:rPr>
          <w:rFonts w:cstheme="minorHAnsi"/>
        </w:rPr>
        <w:t>e un accidente del trabajo fatal o grave, siempre que no hayan transcurrido más de 6 meses desde que</w:t>
      </w:r>
      <w:r w:rsidR="00811D95">
        <w:rPr>
          <w:rFonts w:cstheme="minorHAnsi"/>
        </w:rPr>
        <w:t xml:space="preserve"> sucedió</w:t>
      </w:r>
      <w:r>
        <w:rPr>
          <w:rFonts w:cstheme="minorHAnsi"/>
        </w:rPr>
        <w:t>.</w:t>
      </w:r>
    </w:p>
    <w:p w14:paraId="5E42C8FE" w14:textId="4DAC3139" w:rsidR="00811D95" w:rsidRDefault="00A75457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Se establece que el eDoc 142 (Medidas inmediatas), debe ser remitido al RALF dentro del mismo plazo establecido para el eDoc 141 (Notificación provisoria)</w:t>
      </w:r>
      <w:r w:rsidR="00E94E20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14:paraId="65DE4C97" w14:textId="7A1ECFF5" w:rsidR="00E94E20" w:rsidRDefault="00811D95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 </w:t>
      </w:r>
      <w:r w:rsidR="00F6268C">
        <w:rPr>
          <w:rFonts w:cstheme="minorHAnsi"/>
        </w:rPr>
        <w:t xml:space="preserve">complementan las instrucciones sobre </w:t>
      </w:r>
      <w:r w:rsidR="00E94E20">
        <w:rPr>
          <w:rFonts w:cstheme="minorHAnsi"/>
        </w:rPr>
        <w:t xml:space="preserve">los relatos obtenidos durante la </w:t>
      </w:r>
      <w:r w:rsidR="00F6268C">
        <w:rPr>
          <w:rFonts w:cstheme="minorHAnsi"/>
        </w:rPr>
        <w:t xml:space="preserve">investigación de </w:t>
      </w:r>
      <w:r w:rsidR="00E94E20">
        <w:rPr>
          <w:rFonts w:cstheme="minorHAnsi"/>
        </w:rPr>
        <w:t xml:space="preserve">los </w:t>
      </w:r>
      <w:r w:rsidR="00F6268C">
        <w:rPr>
          <w:rFonts w:cstheme="minorHAnsi"/>
        </w:rPr>
        <w:t>accidentes</w:t>
      </w:r>
      <w:r w:rsidR="00E94E20">
        <w:rPr>
          <w:rFonts w:cstheme="minorHAnsi"/>
        </w:rPr>
        <w:t xml:space="preserve"> y precisa, a través de un nuevo anexo, los documentos que deben (obligatorios) o pueden (opcionales) adjuntarse al eDoc-143.</w:t>
      </w:r>
    </w:p>
    <w:p w14:paraId="26B04C53" w14:textId="152AD4F3" w:rsidR="0016793F" w:rsidRDefault="00E94E20" w:rsidP="00251611">
      <w:pPr>
        <w:pStyle w:val="Prrafodelista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Se establece la obligación de prescribir una o más medidas por cada hecho causal determinado en la investigación del accidente.</w:t>
      </w:r>
      <w:r w:rsidR="0016793F" w:rsidRPr="00E94E20">
        <w:rPr>
          <w:rFonts w:cstheme="minorHAnsi"/>
        </w:rPr>
        <w:tab/>
      </w:r>
    </w:p>
    <w:p w14:paraId="7EF4FAE2" w14:textId="1693481C" w:rsidR="00686D3B" w:rsidRDefault="00D30481" w:rsidP="00251611">
      <w:pPr>
        <w:spacing w:before="120" w:after="120" w:line="276" w:lineRule="auto"/>
        <w:jc w:val="both"/>
      </w:pPr>
      <w:r>
        <w:t xml:space="preserve">Además, </w:t>
      </w:r>
      <w:r w:rsidR="003579E4">
        <w:t xml:space="preserve">según </w:t>
      </w:r>
      <w:r w:rsidR="00F36E33">
        <w:t xml:space="preserve">se destaca </w:t>
      </w:r>
      <w:r>
        <w:t xml:space="preserve">en </w:t>
      </w:r>
      <w:r w:rsidR="003579E4">
        <w:t>e</w:t>
      </w:r>
      <w:r w:rsidR="00F36E33">
        <w:t xml:space="preserve">l texto con control de cambios - </w:t>
      </w:r>
      <w:r w:rsidR="003579E4">
        <w:t>mediante notas entre corchetes al t</w:t>
      </w:r>
      <w:r w:rsidR="00F36E33">
        <w:t>érmino de determinados párrafos -</w:t>
      </w:r>
      <w:r w:rsidR="003579E4">
        <w:t xml:space="preserve">, </w:t>
      </w:r>
      <w:r w:rsidR="00766670">
        <w:t>se precisa</w:t>
      </w:r>
      <w:r w:rsidR="00533104">
        <w:t xml:space="preserve">n aquellas instrucciones que se </w:t>
      </w:r>
      <w:r w:rsidR="003579E4">
        <w:t>cambia</w:t>
      </w:r>
      <w:r w:rsidR="00533104">
        <w:t>n</w:t>
      </w:r>
      <w:r w:rsidR="003579E4">
        <w:t xml:space="preserve"> </w:t>
      </w:r>
      <w:r w:rsidR="00533104">
        <w:t xml:space="preserve">de </w:t>
      </w:r>
      <w:r w:rsidR="003579E4">
        <w:t>orden y/o ubicación, las</w:t>
      </w:r>
      <w:r w:rsidR="00444AEA">
        <w:t xml:space="preserve"> </w:t>
      </w:r>
      <w:proofErr w:type="gramStart"/>
      <w:r w:rsidR="003579E4">
        <w:t>que</w:t>
      </w:r>
      <w:proofErr w:type="gramEnd"/>
      <w:r w:rsidR="003579E4">
        <w:t xml:space="preserve"> en ciertos casos, también se modifican.</w:t>
      </w:r>
    </w:p>
    <w:p w14:paraId="18E07F1B" w14:textId="64A6EEA8" w:rsidR="00251611" w:rsidRDefault="0040582B" w:rsidP="00251611">
      <w:pPr>
        <w:spacing w:before="120" w:after="120" w:line="276" w:lineRule="auto"/>
        <w:jc w:val="both"/>
      </w:pPr>
      <w:r>
        <w:t>Tam</w:t>
      </w:r>
      <w:r w:rsidR="00251611">
        <w:t>bién se someten a consideración</w:t>
      </w:r>
      <w:r>
        <w:t xml:space="preserve"> las modificaciones que se introducen en las guías </w:t>
      </w:r>
      <w:r w:rsidR="00251611">
        <w:t>para empleadores a que se refiere el encabezado de la Letra D., del Título I, del Libro IV del Compendio y que se insertan al término del texto con control de cambios.</w:t>
      </w:r>
    </w:p>
    <w:p w14:paraId="2A11481F" w14:textId="77777777" w:rsidR="00440396" w:rsidRDefault="00440396" w:rsidP="00251611">
      <w:pPr>
        <w:spacing w:before="120" w:after="120" w:line="276" w:lineRule="auto"/>
        <w:jc w:val="both"/>
      </w:pPr>
    </w:p>
    <w:p w14:paraId="7EBF3097" w14:textId="7778EAE6" w:rsidR="00B66CC0" w:rsidRPr="00693823" w:rsidRDefault="00C75A7C" w:rsidP="00251611">
      <w:pPr>
        <w:spacing w:before="120" w:after="120" w:line="276" w:lineRule="auto"/>
        <w:jc w:val="both"/>
        <w:sectPr w:rsidR="00B66CC0" w:rsidRPr="00693823" w:rsidSect="003C676C">
          <w:headerReference w:type="default" r:id="rId8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 w:rsidRPr="00693823">
        <w:t xml:space="preserve">Para efectuar comentarios al presente proyecto de circular, se solicita enviar el archivo que se adjunta a continuación, al correo electrónico </w:t>
      </w:r>
      <w:hyperlink r:id="rId9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110A77E" w14:textId="76F63408" w:rsidR="00B81841" w:rsidRDefault="00B81841" w:rsidP="00251611">
      <w:pPr>
        <w:spacing w:before="120" w:after="120"/>
        <w:jc w:val="both"/>
      </w:pPr>
    </w:p>
    <w:tbl>
      <w:tblPr>
        <w:tblStyle w:val="Tablaconcuadrcula"/>
        <w:tblW w:w="14034" w:type="dxa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414"/>
        <w:gridCol w:w="4253"/>
        <w:gridCol w:w="2410"/>
      </w:tblGrid>
      <w:tr w:rsidR="00B66CC0" w14:paraId="2039E97B" w14:textId="77777777" w:rsidTr="00B07619">
        <w:trPr>
          <w:jc w:val="center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7AE" w14:textId="69EB1E8D" w:rsidR="00B66CC0" w:rsidRPr="00444AEA" w:rsidRDefault="00B66CC0" w:rsidP="00444AE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OBSERVACIONES AL </w:t>
            </w:r>
            <w:r w:rsidR="008167AC" w:rsidRPr="00693823">
              <w:rPr>
                <w:rFonts w:cstheme="minorHAnsi"/>
                <w:b/>
                <w:sz w:val="24"/>
                <w:szCs w:val="24"/>
                <w:lang w:val="es-ES"/>
              </w:rPr>
              <w:t xml:space="preserve">PROYECTO CIRCULAR </w:t>
            </w:r>
            <w:r w:rsidR="00444AEA" w:rsidRPr="00444AEA">
              <w:rPr>
                <w:rFonts w:cstheme="minorHAnsi"/>
                <w:b/>
                <w:sz w:val="24"/>
                <w:szCs w:val="24"/>
                <w:lang w:val="es-ES"/>
              </w:rPr>
              <w:t>MODIFICA INSTRUCCIONES SOBRE ACCIDENTES DEL TRABAJO GRAVES Y</w:t>
            </w:r>
            <w:r w:rsidR="00444AEA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444AEA" w:rsidRPr="00444AEA">
              <w:rPr>
                <w:rFonts w:cstheme="minorHAnsi"/>
                <w:b/>
                <w:sz w:val="24"/>
                <w:szCs w:val="24"/>
                <w:lang w:val="es-ES"/>
              </w:rPr>
              <w:t>FATALES</w:t>
            </w:r>
          </w:p>
        </w:tc>
      </w:tr>
      <w:tr w:rsidR="00B66CC0" w14:paraId="61B90096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0761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 w:rsidP="00251611">
            <w:pPr>
              <w:spacing w:before="120"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251611">
      <w:pPr>
        <w:tabs>
          <w:tab w:val="left" w:pos="4821"/>
        </w:tabs>
        <w:spacing w:before="120" w:after="120"/>
      </w:pPr>
    </w:p>
    <w:sectPr w:rsidR="00693823" w:rsidRPr="00693823" w:rsidSect="00B07619">
      <w:pgSz w:w="18720" w:h="12240" w:orient="landscape" w:code="164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BA52" w14:textId="77777777" w:rsidR="001B2ECC" w:rsidRDefault="001B2ECC" w:rsidP="00D71695">
      <w:pPr>
        <w:spacing w:after="0" w:line="240" w:lineRule="auto"/>
      </w:pPr>
      <w:r>
        <w:separator/>
      </w:r>
    </w:p>
  </w:endnote>
  <w:endnote w:type="continuationSeparator" w:id="0">
    <w:p w14:paraId="455389F6" w14:textId="77777777" w:rsidR="001B2ECC" w:rsidRDefault="001B2ECC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C751" w14:textId="77777777" w:rsidR="001B2ECC" w:rsidRDefault="001B2ECC" w:rsidP="00D71695">
      <w:pPr>
        <w:spacing w:after="0" w:line="240" w:lineRule="auto"/>
      </w:pPr>
      <w:r>
        <w:separator/>
      </w:r>
    </w:p>
  </w:footnote>
  <w:footnote w:type="continuationSeparator" w:id="0">
    <w:p w14:paraId="08B0D17A" w14:textId="77777777" w:rsidR="001B2ECC" w:rsidRDefault="001B2ECC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08B7"/>
    <w:multiLevelType w:val="hybridMultilevel"/>
    <w:tmpl w:val="75860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71B3"/>
    <w:multiLevelType w:val="hybridMultilevel"/>
    <w:tmpl w:val="6B564E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2515">
    <w:abstractNumId w:val="0"/>
  </w:num>
  <w:num w:numId="2" w16cid:durableId="50352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350E3"/>
    <w:rsid w:val="0003791D"/>
    <w:rsid w:val="0007352C"/>
    <w:rsid w:val="00086E58"/>
    <w:rsid w:val="000A2FCF"/>
    <w:rsid w:val="000B0B11"/>
    <w:rsid w:val="000B3235"/>
    <w:rsid w:val="000B718F"/>
    <w:rsid w:val="000C41FC"/>
    <w:rsid w:val="000D6249"/>
    <w:rsid w:val="000F2B6A"/>
    <w:rsid w:val="00140628"/>
    <w:rsid w:val="001423E1"/>
    <w:rsid w:val="00143CCB"/>
    <w:rsid w:val="00151F93"/>
    <w:rsid w:val="0016793F"/>
    <w:rsid w:val="00177D91"/>
    <w:rsid w:val="00194924"/>
    <w:rsid w:val="001B1614"/>
    <w:rsid w:val="001B2E38"/>
    <w:rsid w:val="001B2ECC"/>
    <w:rsid w:val="001C0F59"/>
    <w:rsid w:val="001C3120"/>
    <w:rsid w:val="001F5B76"/>
    <w:rsid w:val="00220726"/>
    <w:rsid w:val="00234D0F"/>
    <w:rsid w:val="00251611"/>
    <w:rsid w:val="00254337"/>
    <w:rsid w:val="0026035F"/>
    <w:rsid w:val="002672FB"/>
    <w:rsid w:val="002948CA"/>
    <w:rsid w:val="002A500F"/>
    <w:rsid w:val="002C167A"/>
    <w:rsid w:val="002C2D28"/>
    <w:rsid w:val="002C4355"/>
    <w:rsid w:val="002D2DFE"/>
    <w:rsid w:val="002D41E0"/>
    <w:rsid w:val="002D643E"/>
    <w:rsid w:val="00310CEB"/>
    <w:rsid w:val="00320609"/>
    <w:rsid w:val="00326298"/>
    <w:rsid w:val="003579E4"/>
    <w:rsid w:val="00373D69"/>
    <w:rsid w:val="003B194B"/>
    <w:rsid w:val="003B2195"/>
    <w:rsid w:val="003B78BC"/>
    <w:rsid w:val="003C676C"/>
    <w:rsid w:val="003D1039"/>
    <w:rsid w:val="00403B96"/>
    <w:rsid w:val="0040582B"/>
    <w:rsid w:val="00440396"/>
    <w:rsid w:val="00444AEA"/>
    <w:rsid w:val="0044755A"/>
    <w:rsid w:val="00462F15"/>
    <w:rsid w:val="0049273F"/>
    <w:rsid w:val="00495906"/>
    <w:rsid w:val="004966B9"/>
    <w:rsid w:val="004A2F01"/>
    <w:rsid w:val="004A47BA"/>
    <w:rsid w:val="004F67D8"/>
    <w:rsid w:val="005220AA"/>
    <w:rsid w:val="00525F39"/>
    <w:rsid w:val="00530EBE"/>
    <w:rsid w:val="00533104"/>
    <w:rsid w:val="005641A5"/>
    <w:rsid w:val="005A0FA2"/>
    <w:rsid w:val="005E5C2D"/>
    <w:rsid w:val="005F54B7"/>
    <w:rsid w:val="00613202"/>
    <w:rsid w:val="006308EF"/>
    <w:rsid w:val="00633BBC"/>
    <w:rsid w:val="00634E44"/>
    <w:rsid w:val="00640A8A"/>
    <w:rsid w:val="00652F7A"/>
    <w:rsid w:val="00670080"/>
    <w:rsid w:val="00671270"/>
    <w:rsid w:val="00686D3B"/>
    <w:rsid w:val="00693823"/>
    <w:rsid w:val="006A1B50"/>
    <w:rsid w:val="006A4FA5"/>
    <w:rsid w:val="006A5414"/>
    <w:rsid w:val="006A658F"/>
    <w:rsid w:val="006A7445"/>
    <w:rsid w:val="006C08B8"/>
    <w:rsid w:val="006C0D63"/>
    <w:rsid w:val="006D20E9"/>
    <w:rsid w:val="006D58C4"/>
    <w:rsid w:val="006D72D7"/>
    <w:rsid w:val="007054FC"/>
    <w:rsid w:val="007235FB"/>
    <w:rsid w:val="007355BF"/>
    <w:rsid w:val="00737873"/>
    <w:rsid w:val="007400C9"/>
    <w:rsid w:val="007566D7"/>
    <w:rsid w:val="00763427"/>
    <w:rsid w:val="00766670"/>
    <w:rsid w:val="00767DF0"/>
    <w:rsid w:val="00780A22"/>
    <w:rsid w:val="0079384B"/>
    <w:rsid w:val="007A0777"/>
    <w:rsid w:val="007A4E37"/>
    <w:rsid w:val="008119FA"/>
    <w:rsid w:val="00811D95"/>
    <w:rsid w:val="00813987"/>
    <w:rsid w:val="008167AC"/>
    <w:rsid w:val="0082108B"/>
    <w:rsid w:val="008223B2"/>
    <w:rsid w:val="008675C2"/>
    <w:rsid w:val="00894D95"/>
    <w:rsid w:val="008A4C15"/>
    <w:rsid w:val="008C299C"/>
    <w:rsid w:val="008C738C"/>
    <w:rsid w:val="008C7CB0"/>
    <w:rsid w:val="008D67C9"/>
    <w:rsid w:val="008D7606"/>
    <w:rsid w:val="008E0CF4"/>
    <w:rsid w:val="00904976"/>
    <w:rsid w:val="00917560"/>
    <w:rsid w:val="0091796F"/>
    <w:rsid w:val="00940920"/>
    <w:rsid w:val="00943706"/>
    <w:rsid w:val="009565DD"/>
    <w:rsid w:val="00960E71"/>
    <w:rsid w:val="0096279A"/>
    <w:rsid w:val="00963B0E"/>
    <w:rsid w:val="00971E13"/>
    <w:rsid w:val="00980654"/>
    <w:rsid w:val="00996D9F"/>
    <w:rsid w:val="009B2847"/>
    <w:rsid w:val="009D7784"/>
    <w:rsid w:val="009E55D9"/>
    <w:rsid w:val="009F5491"/>
    <w:rsid w:val="00A15379"/>
    <w:rsid w:val="00A16DD9"/>
    <w:rsid w:val="00A32AEC"/>
    <w:rsid w:val="00A40A7E"/>
    <w:rsid w:val="00A42C6D"/>
    <w:rsid w:val="00A54707"/>
    <w:rsid w:val="00A75457"/>
    <w:rsid w:val="00A930E7"/>
    <w:rsid w:val="00AC0111"/>
    <w:rsid w:val="00AC2BA0"/>
    <w:rsid w:val="00AC6A1A"/>
    <w:rsid w:val="00AE1549"/>
    <w:rsid w:val="00AF75FF"/>
    <w:rsid w:val="00B07619"/>
    <w:rsid w:val="00B27C41"/>
    <w:rsid w:val="00B34752"/>
    <w:rsid w:val="00B37C98"/>
    <w:rsid w:val="00B60038"/>
    <w:rsid w:val="00B61662"/>
    <w:rsid w:val="00B65766"/>
    <w:rsid w:val="00B65933"/>
    <w:rsid w:val="00B66CC0"/>
    <w:rsid w:val="00B81841"/>
    <w:rsid w:val="00B92D8C"/>
    <w:rsid w:val="00BA217E"/>
    <w:rsid w:val="00BE3646"/>
    <w:rsid w:val="00BF161A"/>
    <w:rsid w:val="00BF3A58"/>
    <w:rsid w:val="00BF709C"/>
    <w:rsid w:val="00C12CC7"/>
    <w:rsid w:val="00C51753"/>
    <w:rsid w:val="00C546B8"/>
    <w:rsid w:val="00C57DCE"/>
    <w:rsid w:val="00C66639"/>
    <w:rsid w:val="00C743E5"/>
    <w:rsid w:val="00C75A7C"/>
    <w:rsid w:val="00C92AFB"/>
    <w:rsid w:val="00CB05F7"/>
    <w:rsid w:val="00CB6851"/>
    <w:rsid w:val="00CC41EE"/>
    <w:rsid w:val="00CC7E0A"/>
    <w:rsid w:val="00CD3D50"/>
    <w:rsid w:val="00CE60CE"/>
    <w:rsid w:val="00D01D4C"/>
    <w:rsid w:val="00D145AF"/>
    <w:rsid w:val="00D2630B"/>
    <w:rsid w:val="00D30481"/>
    <w:rsid w:val="00D37DE9"/>
    <w:rsid w:val="00D660B8"/>
    <w:rsid w:val="00D71695"/>
    <w:rsid w:val="00D846B8"/>
    <w:rsid w:val="00D93341"/>
    <w:rsid w:val="00DA3705"/>
    <w:rsid w:val="00DA6D91"/>
    <w:rsid w:val="00DB1F3F"/>
    <w:rsid w:val="00DC584A"/>
    <w:rsid w:val="00DD4889"/>
    <w:rsid w:val="00DE200A"/>
    <w:rsid w:val="00DF1C5A"/>
    <w:rsid w:val="00DF5163"/>
    <w:rsid w:val="00E04ED4"/>
    <w:rsid w:val="00E12052"/>
    <w:rsid w:val="00E1528D"/>
    <w:rsid w:val="00E3590B"/>
    <w:rsid w:val="00E406A9"/>
    <w:rsid w:val="00E454E6"/>
    <w:rsid w:val="00E503CE"/>
    <w:rsid w:val="00E705C8"/>
    <w:rsid w:val="00E94E20"/>
    <w:rsid w:val="00EC268B"/>
    <w:rsid w:val="00EC5339"/>
    <w:rsid w:val="00ED2DF5"/>
    <w:rsid w:val="00ED4ED1"/>
    <w:rsid w:val="00EE1C70"/>
    <w:rsid w:val="00EF4BD3"/>
    <w:rsid w:val="00F335B4"/>
    <w:rsid w:val="00F36E33"/>
    <w:rsid w:val="00F51307"/>
    <w:rsid w:val="00F60A24"/>
    <w:rsid w:val="00F6268C"/>
    <w:rsid w:val="00F71D10"/>
    <w:rsid w:val="00F744EB"/>
    <w:rsid w:val="00FA08AE"/>
    <w:rsid w:val="00FB1205"/>
    <w:rsid w:val="00FB41CC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34338493-5B3F-48C9-925B-F01F75C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54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49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27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esat@suses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42E4-2B1F-445B-A344-F415F0F0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franda sandoval riffo</dc:creator>
  <cp:lastModifiedBy>Depto Regulación</cp:lastModifiedBy>
  <cp:revision>5</cp:revision>
  <cp:lastPrinted>2022-09-09T23:48:00Z</cp:lastPrinted>
  <dcterms:created xsi:type="dcterms:W3CDTF">2022-09-09T14:23:00Z</dcterms:created>
  <dcterms:modified xsi:type="dcterms:W3CDTF">2022-09-09T23:48:00Z</dcterms:modified>
</cp:coreProperties>
</file>