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897A" w14:textId="77777777" w:rsidR="007A0777" w:rsidRDefault="007A0777" w:rsidP="00D846B8">
      <w:pPr>
        <w:jc w:val="center"/>
        <w:rPr>
          <w:b/>
        </w:rPr>
      </w:pPr>
    </w:p>
    <w:p w14:paraId="7837A9C0" w14:textId="77777777" w:rsidR="007306F8" w:rsidRDefault="007306F8" w:rsidP="007306F8">
      <w:pPr>
        <w:spacing w:after="0" w:line="276" w:lineRule="auto"/>
        <w:jc w:val="center"/>
        <w:rPr>
          <w:b/>
          <w:lang w:val="es-ES"/>
        </w:rPr>
      </w:pPr>
    </w:p>
    <w:p w14:paraId="00C0F56C" w14:textId="77777777" w:rsidR="0025455A" w:rsidRDefault="0025455A" w:rsidP="007306F8">
      <w:pPr>
        <w:spacing w:after="0" w:line="276" w:lineRule="auto"/>
        <w:jc w:val="center"/>
        <w:rPr>
          <w:b/>
          <w:lang w:val="es-ES"/>
        </w:rPr>
      </w:pPr>
    </w:p>
    <w:p w14:paraId="50DAD0AC" w14:textId="77FEB05E" w:rsidR="007306F8" w:rsidRPr="007306F8" w:rsidRDefault="007306F8" w:rsidP="007306F8">
      <w:pPr>
        <w:spacing w:after="0" w:line="276" w:lineRule="auto"/>
        <w:jc w:val="center"/>
        <w:rPr>
          <w:b/>
          <w:lang w:val="es-ES"/>
        </w:rPr>
      </w:pPr>
      <w:r w:rsidRPr="007306F8">
        <w:rPr>
          <w:b/>
          <w:lang w:val="es-ES"/>
        </w:rPr>
        <w:t>MINUTA</w:t>
      </w:r>
    </w:p>
    <w:p w14:paraId="1412601F" w14:textId="046E53E4" w:rsidR="0025455A" w:rsidRDefault="0025455A" w:rsidP="007306F8">
      <w:pPr>
        <w:spacing w:after="0" w:line="276" w:lineRule="auto"/>
        <w:jc w:val="center"/>
        <w:rPr>
          <w:b/>
          <w:lang w:val="es-ES"/>
        </w:rPr>
      </w:pPr>
    </w:p>
    <w:p w14:paraId="75844334" w14:textId="0593D9AC" w:rsidR="007306F8" w:rsidRPr="007306F8" w:rsidRDefault="007306F8" w:rsidP="007306F8">
      <w:pPr>
        <w:spacing w:after="0" w:line="276" w:lineRule="auto"/>
        <w:jc w:val="center"/>
        <w:rPr>
          <w:b/>
          <w:u w:val="single"/>
          <w:lang w:val="es-ES"/>
        </w:rPr>
      </w:pPr>
      <w:r w:rsidRPr="007306F8">
        <w:rPr>
          <w:b/>
          <w:lang w:val="es-ES"/>
        </w:rPr>
        <w:t xml:space="preserve">PROYECTO DE CIRCULAR </w:t>
      </w:r>
      <w:r w:rsidR="00F476AB">
        <w:rPr>
          <w:b/>
          <w:lang w:val="es-ES"/>
        </w:rPr>
        <w:t>ADMINISTRADORES DELEGADOS</w:t>
      </w:r>
    </w:p>
    <w:p w14:paraId="6E13113B" w14:textId="77777777" w:rsidR="007306F8" w:rsidRPr="007306F8" w:rsidRDefault="007306F8" w:rsidP="007306F8">
      <w:pPr>
        <w:spacing w:after="0" w:line="276" w:lineRule="auto"/>
        <w:jc w:val="both"/>
        <w:rPr>
          <w:lang w:val="es-ES"/>
        </w:rPr>
      </w:pPr>
    </w:p>
    <w:p w14:paraId="12EED702" w14:textId="77777777" w:rsidR="007306F8" w:rsidRDefault="007306F8" w:rsidP="007306F8">
      <w:pPr>
        <w:spacing w:after="0" w:line="276" w:lineRule="auto"/>
        <w:jc w:val="both"/>
        <w:rPr>
          <w:lang w:val="es-ES"/>
        </w:rPr>
      </w:pPr>
    </w:p>
    <w:p w14:paraId="6C2857A7" w14:textId="77777777" w:rsidR="00C01DF5" w:rsidRDefault="00C01DF5" w:rsidP="007306F8">
      <w:pPr>
        <w:spacing w:after="0" w:line="276" w:lineRule="auto"/>
        <w:jc w:val="both"/>
        <w:rPr>
          <w:lang w:val="es-ES"/>
        </w:rPr>
      </w:pPr>
    </w:p>
    <w:p w14:paraId="5D561730" w14:textId="696528C5" w:rsidR="007306F8" w:rsidRDefault="007306F8" w:rsidP="007306F8">
      <w:pPr>
        <w:spacing w:after="0" w:line="276" w:lineRule="auto"/>
        <w:jc w:val="both"/>
        <w:rPr>
          <w:lang w:val="es-ES"/>
        </w:rPr>
      </w:pPr>
      <w:r w:rsidRPr="007306F8">
        <w:rPr>
          <w:lang w:val="es-ES"/>
        </w:rPr>
        <w:t xml:space="preserve">Mediante este proyecto de </w:t>
      </w:r>
      <w:r w:rsidR="00C966B5">
        <w:rPr>
          <w:lang w:val="es-ES"/>
        </w:rPr>
        <w:t>c</w:t>
      </w:r>
      <w:r w:rsidRPr="007306F8">
        <w:rPr>
          <w:lang w:val="es-ES"/>
        </w:rPr>
        <w:t xml:space="preserve">ircular se </w:t>
      </w:r>
      <w:r w:rsidR="00021289">
        <w:rPr>
          <w:lang w:val="es-ES"/>
        </w:rPr>
        <w:t xml:space="preserve">complementan </w:t>
      </w:r>
      <w:r w:rsidR="008A2FE0">
        <w:rPr>
          <w:lang w:val="es-ES"/>
        </w:rPr>
        <w:t>y/</w:t>
      </w:r>
      <w:r w:rsidR="00021289">
        <w:rPr>
          <w:lang w:val="es-ES"/>
        </w:rPr>
        <w:t xml:space="preserve">o modifican </w:t>
      </w:r>
      <w:r w:rsidR="008A2FE0">
        <w:rPr>
          <w:lang w:val="es-ES"/>
        </w:rPr>
        <w:t>las</w:t>
      </w:r>
      <w:r>
        <w:rPr>
          <w:lang w:val="es-ES"/>
        </w:rPr>
        <w:t xml:space="preserve"> </w:t>
      </w:r>
      <w:r w:rsidRPr="007306F8">
        <w:rPr>
          <w:lang w:val="es-ES"/>
        </w:rPr>
        <w:t xml:space="preserve">instrucciones </w:t>
      </w:r>
      <w:r w:rsidR="008A2FE0">
        <w:rPr>
          <w:lang w:val="es-ES"/>
        </w:rPr>
        <w:t xml:space="preserve">referidas a </w:t>
      </w:r>
      <w:r w:rsidR="00F476AB">
        <w:rPr>
          <w:lang w:val="es-ES"/>
        </w:rPr>
        <w:t>las entidades</w:t>
      </w:r>
      <w:r w:rsidR="008B4A15">
        <w:rPr>
          <w:lang w:val="es-ES"/>
        </w:rPr>
        <w:t xml:space="preserve"> empleadoras</w:t>
      </w:r>
      <w:r w:rsidR="00F476AB">
        <w:rPr>
          <w:lang w:val="es-ES"/>
        </w:rPr>
        <w:t xml:space="preserve"> que administran el seguro de accidentes del trabajo y enfermedades profesionales</w:t>
      </w:r>
      <w:r w:rsidR="008B4A15">
        <w:rPr>
          <w:lang w:val="es-ES"/>
        </w:rPr>
        <w:t xml:space="preserve"> de la Ley N°16.744,</w:t>
      </w:r>
      <w:r w:rsidR="00F476AB">
        <w:rPr>
          <w:lang w:val="es-ES"/>
        </w:rPr>
        <w:t xml:space="preserve"> en su calidad de administradores delegados</w:t>
      </w:r>
      <w:r w:rsidR="008B4A15">
        <w:rPr>
          <w:lang w:val="es-ES"/>
        </w:rPr>
        <w:t xml:space="preserve">. De este modo, </w:t>
      </w:r>
      <w:r w:rsidR="00021289">
        <w:rPr>
          <w:lang w:val="es-ES"/>
        </w:rPr>
        <w:t xml:space="preserve">se </w:t>
      </w:r>
      <w:r w:rsidR="008A2FE0">
        <w:rPr>
          <w:lang w:val="es-ES"/>
        </w:rPr>
        <w:t xml:space="preserve">incorporan modificaciones en lo pertinente, en </w:t>
      </w:r>
      <w:r w:rsidRPr="007306F8">
        <w:rPr>
          <w:lang w:val="es-ES"/>
        </w:rPr>
        <w:t xml:space="preserve">los Libros </w:t>
      </w:r>
      <w:r w:rsidR="008B4A15">
        <w:rPr>
          <w:lang w:val="es-ES"/>
        </w:rPr>
        <w:t xml:space="preserve">I, </w:t>
      </w:r>
      <w:r w:rsidR="00F476AB">
        <w:rPr>
          <w:lang w:val="es-ES"/>
        </w:rPr>
        <w:t xml:space="preserve">II, </w:t>
      </w:r>
      <w:r w:rsidRPr="007306F8">
        <w:rPr>
          <w:lang w:val="es-ES"/>
        </w:rPr>
        <w:t xml:space="preserve">III, </w:t>
      </w:r>
      <w:r w:rsidR="00F476AB">
        <w:rPr>
          <w:lang w:val="es-ES"/>
        </w:rPr>
        <w:t>V, VI</w:t>
      </w:r>
      <w:r w:rsidR="00FF40EB">
        <w:rPr>
          <w:lang w:val="es-ES"/>
        </w:rPr>
        <w:t>,</w:t>
      </w:r>
      <w:r w:rsidRPr="007306F8">
        <w:rPr>
          <w:lang w:val="es-ES"/>
        </w:rPr>
        <w:t xml:space="preserve"> </w:t>
      </w:r>
      <w:r w:rsidR="00F476AB">
        <w:rPr>
          <w:lang w:val="es-ES"/>
        </w:rPr>
        <w:t>VII</w:t>
      </w:r>
      <w:r w:rsidR="00FF40EB">
        <w:rPr>
          <w:lang w:val="es-ES"/>
        </w:rPr>
        <w:t>I y IX</w:t>
      </w:r>
      <w:r w:rsidRPr="007306F8">
        <w:rPr>
          <w:lang w:val="es-ES"/>
        </w:rPr>
        <w:t xml:space="preserve"> del Compendio de Normas del Seguro de la Ley N°16.744</w:t>
      </w:r>
      <w:r w:rsidR="00021289">
        <w:rPr>
          <w:lang w:val="es-ES"/>
        </w:rPr>
        <w:t>.</w:t>
      </w:r>
    </w:p>
    <w:p w14:paraId="6BA5C2B0" w14:textId="77777777" w:rsidR="007306F8" w:rsidRDefault="007306F8" w:rsidP="007306F8">
      <w:pPr>
        <w:spacing w:after="0" w:line="276" w:lineRule="auto"/>
        <w:jc w:val="both"/>
        <w:rPr>
          <w:lang w:val="es-ES"/>
        </w:rPr>
      </w:pPr>
    </w:p>
    <w:p w14:paraId="5F10B822" w14:textId="68DA0D8B" w:rsidR="007306F8" w:rsidRDefault="007306F8" w:rsidP="007306F8">
      <w:pPr>
        <w:spacing w:after="0" w:line="276" w:lineRule="auto"/>
        <w:jc w:val="both"/>
        <w:rPr>
          <w:lang w:val="es-ES"/>
        </w:rPr>
      </w:pPr>
      <w:r w:rsidRPr="007306F8">
        <w:rPr>
          <w:lang w:val="es-ES"/>
        </w:rPr>
        <w:t xml:space="preserve">Entre </w:t>
      </w:r>
      <w:r w:rsidR="00C966B5">
        <w:rPr>
          <w:lang w:val="es-ES"/>
        </w:rPr>
        <w:t xml:space="preserve">los principales aspectos que se abordan </w:t>
      </w:r>
      <w:r w:rsidR="008A2FE0">
        <w:rPr>
          <w:lang w:val="es-ES"/>
        </w:rPr>
        <w:t xml:space="preserve">en </w:t>
      </w:r>
      <w:r w:rsidR="00C966B5">
        <w:rPr>
          <w:lang w:val="es-ES"/>
        </w:rPr>
        <w:t xml:space="preserve">este proyecto, se encuentran </w:t>
      </w:r>
      <w:r w:rsidRPr="007306F8">
        <w:rPr>
          <w:lang w:val="es-ES"/>
        </w:rPr>
        <w:t>l</w:t>
      </w:r>
      <w:r w:rsidR="00AA3D07">
        <w:rPr>
          <w:lang w:val="es-ES"/>
        </w:rPr>
        <w:t>o</w:t>
      </w:r>
      <w:r w:rsidRPr="007306F8">
        <w:rPr>
          <w:lang w:val="es-ES"/>
        </w:rPr>
        <w:t>s siguientes:</w:t>
      </w:r>
    </w:p>
    <w:p w14:paraId="61CFCBE8" w14:textId="19874835" w:rsidR="000D1F7E" w:rsidRDefault="000D1F7E" w:rsidP="003B6F56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>Instruir auditoría</w:t>
      </w:r>
      <w:r w:rsidR="0025455A">
        <w:rPr>
          <w:lang w:val="es-ES"/>
        </w:rPr>
        <w:t>s</w:t>
      </w:r>
      <w:r>
        <w:rPr>
          <w:lang w:val="es-ES"/>
        </w:rPr>
        <w:t xml:space="preserve"> </w:t>
      </w:r>
      <w:r w:rsidR="00F43B9F">
        <w:rPr>
          <w:lang w:val="es-ES"/>
        </w:rPr>
        <w:t xml:space="preserve">internas </w:t>
      </w:r>
      <w:r>
        <w:rPr>
          <w:lang w:val="es-ES"/>
        </w:rPr>
        <w:t xml:space="preserve">en </w:t>
      </w:r>
      <w:r w:rsidR="00F00C56">
        <w:rPr>
          <w:lang w:val="es-ES"/>
        </w:rPr>
        <w:t>materias</w:t>
      </w:r>
      <w:r>
        <w:rPr>
          <w:lang w:val="es-ES"/>
        </w:rPr>
        <w:t xml:space="preserve"> específicas del </w:t>
      </w:r>
      <w:r w:rsidR="00F43B9F">
        <w:rPr>
          <w:lang w:val="es-ES"/>
        </w:rPr>
        <w:t>S</w:t>
      </w:r>
      <w:r>
        <w:rPr>
          <w:lang w:val="es-ES"/>
        </w:rPr>
        <w:t>eguro de la Ley N°16.744</w:t>
      </w:r>
      <w:r w:rsidR="00F00C56">
        <w:rPr>
          <w:lang w:val="es-ES"/>
        </w:rPr>
        <w:t>, que esta Superintendencia le informará anualmente</w:t>
      </w:r>
      <w:r w:rsidR="00F43B9F">
        <w:rPr>
          <w:lang w:val="es-ES"/>
        </w:rPr>
        <w:t>;</w:t>
      </w:r>
    </w:p>
    <w:p w14:paraId="550FC9D7" w14:textId="77777777" w:rsidR="004B26F1" w:rsidRDefault="004B26F1" w:rsidP="004B26F1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 w:rsidRPr="00F00C56">
        <w:rPr>
          <w:lang w:val="es-ES"/>
        </w:rPr>
        <w:t>Actualizar las instrucciones y el envío a la Superintendencia de Seguridad Social de la información financiero/contable, de los ingresos y gastos de gestión.</w:t>
      </w:r>
      <w:r w:rsidRPr="004B26F1">
        <w:rPr>
          <w:lang w:val="es-ES"/>
        </w:rPr>
        <w:t xml:space="preserve"> </w:t>
      </w:r>
    </w:p>
    <w:p w14:paraId="5D3ACC4D" w14:textId="6E03E494" w:rsidR="000D1F7E" w:rsidRDefault="000D1F7E" w:rsidP="003B6F56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>Actualiza</w:t>
      </w:r>
      <w:r w:rsidR="007A1A3D">
        <w:rPr>
          <w:lang w:val="es-ES"/>
        </w:rPr>
        <w:t>r</w:t>
      </w:r>
      <w:r>
        <w:rPr>
          <w:lang w:val="es-ES"/>
        </w:rPr>
        <w:t xml:space="preserve"> instrucciones en distintas </w:t>
      </w:r>
      <w:r w:rsidR="003C123B">
        <w:rPr>
          <w:lang w:val="es-ES"/>
        </w:rPr>
        <w:t>áre</w:t>
      </w:r>
      <w:r>
        <w:rPr>
          <w:lang w:val="es-ES"/>
        </w:rPr>
        <w:t xml:space="preserve">as, tales como: tramitación de denuncias </w:t>
      </w:r>
      <w:r w:rsidR="003C123B">
        <w:rPr>
          <w:lang w:val="es-ES"/>
        </w:rPr>
        <w:t>individuales de accidentes del trabajo, licencias médicas, procedimiento</w:t>
      </w:r>
      <w:r w:rsidR="0025455A">
        <w:rPr>
          <w:lang w:val="es-ES"/>
        </w:rPr>
        <w:t xml:space="preserve"> artículo</w:t>
      </w:r>
      <w:r w:rsidR="003C123B">
        <w:rPr>
          <w:lang w:val="es-ES"/>
        </w:rPr>
        <w:t xml:space="preserve"> 77 bis, etc.</w:t>
      </w:r>
      <w:r w:rsidR="00F43B9F">
        <w:rPr>
          <w:lang w:val="es-ES"/>
        </w:rPr>
        <w:t>;</w:t>
      </w:r>
    </w:p>
    <w:p w14:paraId="43C3D0F7" w14:textId="2122CFFD" w:rsidR="00F00C56" w:rsidRPr="00F00C56" w:rsidRDefault="007A1A3D" w:rsidP="00E85A56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 w:rsidRPr="00F00C56">
        <w:rPr>
          <w:lang w:val="es-ES"/>
        </w:rPr>
        <w:t>Precisar</w:t>
      </w:r>
      <w:r w:rsidR="007E6C76" w:rsidRPr="00F00C56">
        <w:rPr>
          <w:lang w:val="es-ES"/>
        </w:rPr>
        <w:t xml:space="preserve"> instrucciones relativas al pago de subsidios de incapacidad </w:t>
      </w:r>
      <w:r w:rsidR="00F43B9F" w:rsidRPr="00F00C56">
        <w:rPr>
          <w:lang w:val="es-ES"/>
        </w:rPr>
        <w:t>temporal,</w:t>
      </w:r>
      <w:r w:rsidR="00F00C56" w:rsidRPr="00F00C56">
        <w:rPr>
          <w:lang w:val="es-ES"/>
        </w:rPr>
        <w:t xml:space="preserve"> tales como el </w:t>
      </w:r>
      <w:r w:rsidR="00F00C56">
        <w:rPr>
          <w:rFonts w:eastAsiaTheme="majorEastAsia" w:cstheme="minorHAnsi"/>
        </w:rPr>
        <w:t xml:space="preserve">registro de los </w:t>
      </w:r>
      <w:r w:rsidR="00F00C56" w:rsidRPr="00CB14BC">
        <w:rPr>
          <w:rFonts w:eastAsiaTheme="majorEastAsia" w:cstheme="minorHAnsi"/>
        </w:rPr>
        <w:t>comprobantes de pago en forma separada de las liquidaciones de remu</w:t>
      </w:r>
      <w:r w:rsidR="00F00C56">
        <w:rPr>
          <w:rFonts w:eastAsiaTheme="majorEastAsia" w:cstheme="minorHAnsi"/>
        </w:rPr>
        <w:t>neraciones de sus trabajadores, y</w:t>
      </w:r>
    </w:p>
    <w:p w14:paraId="5E6B67FB" w14:textId="23EF4F47" w:rsidR="004B26F1" w:rsidRDefault="004B26F1" w:rsidP="004B26F1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 xml:space="preserve">La Superintendencia de Seguridad podrán a disposición del </w:t>
      </w:r>
      <w:r>
        <w:rPr>
          <w:lang w:val="es-ES"/>
        </w:rPr>
        <w:t>Instituto de Seguridad Laboral</w:t>
      </w:r>
      <w:r>
        <w:rPr>
          <w:lang w:val="es-ES"/>
        </w:rPr>
        <w:t>,</w:t>
      </w:r>
      <w:r>
        <w:rPr>
          <w:lang w:val="es-ES"/>
        </w:rPr>
        <w:t xml:space="preserve"> la información remitida por los administradores delegado para efectos de </w:t>
      </w:r>
      <w:r w:rsidRPr="000D1F7E">
        <w:rPr>
          <w:lang w:val="es-ES"/>
        </w:rPr>
        <w:t>determinar la magnitud de la siniestralidad efectiva</w:t>
      </w:r>
      <w:r>
        <w:rPr>
          <w:lang w:val="es-ES"/>
        </w:rPr>
        <w:t>, en el marco del Proceso de Evaluación del D.S. N°67, de 1999, del Ministerio del Trabajo y Previsión Social</w:t>
      </w:r>
      <w:r>
        <w:rPr>
          <w:lang w:val="es-ES"/>
        </w:rPr>
        <w:t>. Lo anterior sin perjuicio de la información que aquéllos le deben enviar a dicho Instituto</w:t>
      </w:r>
      <w:r>
        <w:rPr>
          <w:lang w:val="es-ES"/>
        </w:rPr>
        <w:t>;</w:t>
      </w:r>
    </w:p>
    <w:p w14:paraId="03CEEE81" w14:textId="5980EC23" w:rsidR="00C01DF5" w:rsidRPr="00F00C56" w:rsidRDefault="00C01DF5" w:rsidP="004B26F1">
      <w:pPr>
        <w:spacing w:before="120" w:after="120" w:line="276" w:lineRule="auto"/>
        <w:ind w:left="360"/>
        <w:jc w:val="both"/>
        <w:rPr>
          <w:lang w:val="es-ES"/>
        </w:rPr>
      </w:pPr>
    </w:p>
    <w:p w14:paraId="15C68164" w14:textId="77777777" w:rsidR="00FB73F6" w:rsidRDefault="00FB73F6" w:rsidP="00693823">
      <w:pPr>
        <w:spacing w:after="0" w:line="276" w:lineRule="auto"/>
        <w:jc w:val="both"/>
        <w:rPr>
          <w:lang w:val="es-ES"/>
        </w:rPr>
      </w:pPr>
    </w:p>
    <w:p w14:paraId="7EBF3097" w14:textId="77777777" w:rsidR="00B66CC0" w:rsidRDefault="00C75A7C" w:rsidP="00693823">
      <w:pPr>
        <w:spacing w:after="0" w:line="276" w:lineRule="auto"/>
        <w:jc w:val="both"/>
        <w:rPr>
          <w:lang w:val="es-ES"/>
        </w:rPr>
      </w:pPr>
      <w:r w:rsidRPr="00693823">
        <w:t xml:space="preserve">Para efectuar comentarios al presente proyecto de circular, se solicita enviar el archivo que se adjunta a continuación, al correo electrónico </w:t>
      </w:r>
      <w:hyperlink r:id="rId7" w:history="1">
        <w:r w:rsidR="00693823" w:rsidRPr="00693823">
          <w:rPr>
            <w:rStyle w:val="Hipervnculo"/>
            <w:lang w:val="es-ES"/>
          </w:rPr>
          <w:t>isesa</w:t>
        </w:r>
        <w:r w:rsidR="00693823" w:rsidRPr="00693823">
          <w:rPr>
            <w:rStyle w:val="Hipervnculo"/>
          </w:rPr>
          <w:t>t</w:t>
        </w:r>
        <w:r w:rsidR="00693823" w:rsidRPr="00693823">
          <w:rPr>
            <w:rStyle w:val="Hipervnculo"/>
            <w:lang w:val="es-ES"/>
          </w:rPr>
          <w:t>@suseso.cl</w:t>
        </w:r>
      </w:hyperlink>
      <w:r w:rsidR="00693823" w:rsidRPr="00693823">
        <w:rPr>
          <w:lang w:val="es-ES"/>
        </w:rPr>
        <w:t>.</w:t>
      </w:r>
    </w:p>
    <w:p w14:paraId="0C855993" w14:textId="4B51AD9C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177E1E27" w14:textId="5C5787E5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25055235" w14:textId="582F71F3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2F33680C" w14:textId="2D6C48FA" w:rsidR="000D081C" w:rsidRPr="00693823" w:rsidRDefault="008C0761" w:rsidP="000D081C">
      <w:pPr>
        <w:spacing w:after="0" w:line="276" w:lineRule="auto"/>
        <w:jc w:val="both"/>
        <w:sectPr w:rsidR="000D081C" w:rsidRPr="00693823" w:rsidSect="003B6F56">
          <w:headerReference w:type="default" r:id="rId8"/>
          <w:pgSz w:w="12240" w:h="15840" w:code="129"/>
          <w:pgMar w:top="992" w:right="1304" w:bottom="1418" w:left="1474" w:header="1191" w:footer="709" w:gutter="0"/>
          <w:cols w:space="708"/>
          <w:docGrid w:linePitch="360"/>
        </w:sectPr>
      </w:pPr>
      <w:r>
        <w:t xml:space="preserve"> </w:t>
      </w:r>
    </w:p>
    <w:p w14:paraId="0110A77E" w14:textId="76F63408" w:rsidR="00B81841" w:rsidRDefault="00B81841" w:rsidP="00D846B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B66CC0" w:rsidRPr="00BB0507" w14:paraId="2039E97B" w14:textId="77777777" w:rsidTr="00B66CC0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86A" w14:textId="59D003F3" w:rsidR="003B6F56" w:rsidRPr="00BB0507" w:rsidRDefault="00B66CC0" w:rsidP="00BB0507">
            <w:pPr>
              <w:tabs>
                <w:tab w:val="left" w:pos="432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t xml:space="preserve">OBSERVACIONES AL </w:t>
            </w:r>
            <w:r w:rsidR="005422B5" w:rsidRPr="00BB0507">
              <w:rPr>
                <w:rFonts w:cstheme="minorHAnsi"/>
                <w:b/>
                <w:bCs/>
                <w:sz w:val="24"/>
                <w:szCs w:val="24"/>
              </w:rPr>
              <w:t xml:space="preserve">PROYECTO DE </w:t>
            </w:r>
            <w:r w:rsidR="00EB189C" w:rsidRPr="00BB0507">
              <w:rPr>
                <w:rFonts w:cstheme="minorHAnsi"/>
                <w:b/>
                <w:bCs/>
                <w:sz w:val="24"/>
                <w:szCs w:val="24"/>
              </w:rPr>
              <w:t>CIRCULAR</w:t>
            </w:r>
            <w:r w:rsidR="00F00C56" w:rsidRPr="00BB0507">
              <w:rPr>
                <w:rFonts w:cstheme="minorHAnsi"/>
                <w:b/>
                <w:bCs/>
                <w:sz w:val="24"/>
                <w:szCs w:val="24"/>
              </w:rPr>
              <w:t xml:space="preserve"> ADMINISTRADORES DELEGADOS</w:t>
            </w:r>
            <w:r w:rsidR="00BB0507" w:rsidRPr="00BB0507">
              <w:rPr>
                <w:rFonts w:cstheme="minorHAnsi"/>
                <w:b/>
                <w:bCs/>
                <w:sz w:val="24"/>
                <w:szCs w:val="24"/>
              </w:rPr>
              <w:t xml:space="preserve"> DEL SEGURO DE LA LEY N°16.744</w:t>
            </w:r>
            <w:r w:rsidR="00EB189C" w:rsidRPr="00BB05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497D7AE" w14:textId="4A61A93B" w:rsidR="00B66CC0" w:rsidRPr="00BB0507" w:rsidRDefault="00B66CC0">
            <w:pPr>
              <w:jc w:val="both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66CC0" w14:paraId="61B90096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8BEE12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DD0B4B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SECCIÓN O NÚMERO, EN EL COMPENDIO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O  PROYECTO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AB0B92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TÍTULO DE LA SECCIÓN DEL PROYECTO 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COMPENDIO,  OBJETO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8BADDC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DA533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59B722A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B66CC0" w14:paraId="3380D810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2D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D5B97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38C36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09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6290A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55278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28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1965E7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70B2AAC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E2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8D8D7D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25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1C5AAAE9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7EA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E7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CF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F4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38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2ECBC4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EFF071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C0ED4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5422B5" w14:paraId="330F0C0A" w14:textId="77777777" w:rsidTr="00693823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20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06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9E1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CEB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85C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481B6B9E" w14:textId="128C539D" w:rsidR="00693823" w:rsidRPr="00693823" w:rsidRDefault="00693823" w:rsidP="00693823">
      <w:pPr>
        <w:tabs>
          <w:tab w:val="left" w:pos="4821"/>
        </w:tabs>
      </w:pPr>
    </w:p>
    <w:sectPr w:rsidR="00693823" w:rsidRPr="00693823" w:rsidSect="00693823">
      <w:pgSz w:w="15840" w:h="12240" w:orient="landscape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25F1" w14:textId="77777777" w:rsidR="008B1016" w:rsidRDefault="008B1016" w:rsidP="00D71695">
      <w:pPr>
        <w:spacing w:after="0" w:line="240" w:lineRule="auto"/>
      </w:pPr>
      <w:r>
        <w:separator/>
      </w:r>
    </w:p>
  </w:endnote>
  <w:endnote w:type="continuationSeparator" w:id="0">
    <w:p w14:paraId="68D2DCA7" w14:textId="77777777" w:rsidR="008B1016" w:rsidRDefault="008B1016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60CB" w14:textId="77777777" w:rsidR="008B1016" w:rsidRDefault="008B1016" w:rsidP="00D71695">
      <w:pPr>
        <w:spacing w:after="0" w:line="240" w:lineRule="auto"/>
      </w:pPr>
      <w:r>
        <w:separator/>
      </w:r>
    </w:p>
  </w:footnote>
  <w:footnote w:type="continuationSeparator" w:id="0">
    <w:p w14:paraId="4122E9C4" w14:textId="77777777" w:rsidR="008B1016" w:rsidRDefault="008B1016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6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2312B"/>
    <w:multiLevelType w:val="hybridMultilevel"/>
    <w:tmpl w:val="DFD2107C"/>
    <w:lvl w:ilvl="0" w:tplc="DAB4D1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02E85"/>
    <w:multiLevelType w:val="hybridMultilevel"/>
    <w:tmpl w:val="835601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400653">
    <w:abstractNumId w:val="0"/>
  </w:num>
  <w:num w:numId="2" w16cid:durableId="181171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B8"/>
    <w:rsid w:val="00021289"/>
    <w:rsid w:val="000350E3"/>
    <w:rsid w:val="0003791D"/>
    <w:rsid w:val="00051341"/>
    <w:rsid w:val="00057AEF"/>
    <w:rsid w:val="00060BD4"/>
    <w:rsid w:val="00086E58"/>
    <w:rsid w:val="000A2FCF"/>
    <w:rsid w:val="000B0B11"/>
    <w:rsid w:val="000B230F"/>
    <w:rsid w:val="000B718F"/>
    <w:rsid w:val="000D081C"/>
    <w:rsid w:val="000D1F7E"/>
    <w:rsid w:val="000F1B62"/>
    <w:rsid w:val="001254E1"/>
    <w:rsid w:val="00131D11"/>
    <w:rsid w:val="001423E1"/>
    <w:rsid w:val="00143CCB"/>
    <w:rsid w:val="00151F93"/>
    <w:rsid w:val="00154D9A"/>
    <w:rsid w:val="0017185A"/>
    <w:rsid w:val="00177D91"/>
    <w:rsid w:val="00194924"/>
    <w:rsid w:val="001B1614"/>
    <w:rsid w:val="001C0F59"/>
    <w:rsid w:val="001D27C7"/>
    <w:rsid w:val="001E63BB"/>
    <w:rsid w:val="001F5B76"/>
    <w:rsid w:val="00212E3A"/>
    <w:rsid w:val="00217E38"/>
    <w:rsid w:val="00234D0F"/>
    <w:rsid w:val="00250197"/>
    <w:rsid w:val="0025455A"/>
    <w:rsid w:val="00262F89"/>
    <w:rsid w:val="002672FB"/>
    <w:rsid w:val="002948CA"/>
    <w:rsid w:val="002D41E0"/>
    <w:rsid w:val="00312624"/>
    <w:rsid w:val="003607F7"/>
    <w:rsid w:val="003A7889"/>
    <w:rsid w:val="003B41A1"/>
    <w:rsid w:val="003B6464"/>
    <w:rsid w:val="003B6F56"/>
    <w:rsid w:val="003C0282"/>
    <w:rsid w:val="003C123B"/>
    <w:rsid w:val="003C676C"/>
    <w:rsid w:val="00442D56"/>
    <w:rsid w:val="00460EC6"/>
    <w:rsid w:val="00462F15"/>
    <w:rsid w:val="00467418"/>
    <w:rsid w:val="00486803"/>
    <w:rsid w:val="004869A7"/>
    <w:rsid w:val="00491050"/>
    <w:rsid w:val="0049273F"/>
    <w:rsid w:val="00495906"/>
    <w:rsid w:val="004966B9"/>
    <w:rsid w:val="004B26F1"/>
    <w:rsid w:val="004E37F0"/>
    <w:rsid w:val="004F5284"/>
    <w:rsid w:val="005118D8"/>
    <w:rsid w:val="005422B5"/>
    <w:rsid w:val="00555C66"/>
    <w:rsid w:val="00565B3C"/>
    <w:rsid w:val="00573223"/>
    <w:rsid w:val="00620930"/>
    <w:rsid w:val="006308EF"/>
    <w:rsid w:val="00640A8A"/>
    <w:rsid w:val="00643153"/>
    <w:rsid w:val="00652F7A"/>
    <w:rsid w:val="00693823"/>
    <w:rsid w:val="006A1B50"/>
    <w:rsid w:val="006A5414"/>
    <w:rsid w:val="006A658F"/>
    <w:rsid w:val="006A7445"/>
    <w:rsid w:val="006C0D63"/>
    <w:rsid w:val="006D20E9"/>
    <w:rsid w:val="006D72D7"/>
    <w:rsid w:val="006E2E4C"/>
    <w:rsid w:val="006E3D6E"/>
    <w:rsid w:val="00710101"/>
    <w:rsid w:val="007302F7"/>
    <w:rsid w:val="007306F8"/>
    <w:rsid w:val="007355BF"/>
    <w:rsid w:val="007400C9"/>
    <w:rsid w:val="007566D7"/>
    <w:rsid w:val="0078063F"/>
    <w:rsid w:val="0079384B"/>
    <w:rsid w:val="007A0777"/>
    <w:rsid w:val="007A1A3D"/>
    <w:rsid w:val="007A4E37"/>
    <w:rsid w:val="007A7BDD"/>
    <w:rsid w:val="007B3AAA"/>
    <w:rsid w:val="007E6C76"/>
    <w:rsid w:val="007F745B"/>
    <w:rsid w:val="00804F4D"/>
    <w:rsid w:val="008119FA"/>
    <w:rsid w:val="0082108B"/>
    <w:rsid w:val="0082229F"/>
    <w:rsid w:val="00877A9B"/>
    <w:rsid w:val="0088290B"/>
    <w:rsid w:val="00894D95"/>
    <w:rsid w:val="008A212E"/>
    <w:rsid w:val="008A2FE0"/>
    <w:rsid w:val="008B1016"/>
    <w:rsid w:val="008B4A15"/>
    <w:rsid w:val="008C0761"/>
    <w:rsid w:val="008C15E7"/>
    <w:rsid w:val="008C7CB0"/>
    <w:rsid w:val="008E0CF4"/>
    <w:rsid w:val="00904976"/>
    <w:rsid w:val="009147AB"/>
    <w:rsid w:val="00940920"/>
    <w:rsid w:val="00943706"/>
    <w:rsid w:val="009452E9"/>
    <w:rsid w:val="00951F1C"/>
    <w:rsid w:val="009565DD"/>
    <w:rsid w:val="00957F44"/>
    <w:rsid w:val="00960DC5"/>
    <w:rsid w:val="00960E71"/>
    <w:rsid w:val="0096279A"/>
    <w:rsid w:val="00963B0E"/>
    <w:rsid w:val="00971E13"/>
    <w:rsid w:val="0097613E"/>
    <w:rsid w:val="00980654"/>
    <w:rsid w:val="00996D9F"/>
    <w:rsid w:val="009D7784"/>
    <w:rsid w:val="00A04AB2"/>
    <w:rsid w:val="00A12162"/>
    <w:rsid w:val="00A22BC4"/>
    <w:rsid w:val="00A30BCE"/>
    <w:rsid w:val="00A32AEC"/>
    <w:rsid w:val="00A40A7E"/>
    <w:rsid w:val="00A46D53"/>
    <w:rsid w:val="00AA3D07"/>
    <w:rsid w:val="00AC6A1A"/>
    <w:rsid w:val="00AD6FDE"/>
    <w:rsid w:val="00AF75FF"/>
    <w:rsid w:val="00B37C98"/>
    <w:rsid w:val="00B521C0"/>
    <w:rsid w:val="00B529EA"/>
    <w:rsid w:val="00B60038"/>
    <w:rsid w:val="00B625D3"/>
    <w:rsid w:val="00B65933"/>
    <w:rsid w:val="00B66CC0"/>
    <w:rsid w:val="00B81841"/>
    <w:rsid w:val="00B92D8C"/>
    <w:rsid w:val="00BB0507"/>
    <w:rsid w:val="00BB57D3"/>
    <w:rsid w:val="00BE3646"/>
    <w:rsid w:val="00BF3A58"/>
    <w:rsid w:val="00BF709C"/>
    <w:rsid w:val="00C01DF5"/>
    <w:rsid w:val="00C1104A"/>
    <w:rsid w:val="00C12CC7"/>
    <w:rsid w:val="00C51753"/>
    <w:rsid w:val="00C57DCE"/>
    <w:rsid w:val="00C75A7C"/>
    <w:rsid w:val="00C92AFB"/>
    <w:rsid w:val="00C966B5"/>
    <w:rsid w:val="00CA0E22"/>
    <w:rsid w:val="00CC41EE"/>
    <w:rsid w:val="00CC6141"/>
    <w:rsid w:val="00CC7E0A"/>
    <w:rsid w:val="00CD14F8"/>
    <w:rsid w:val="00CD3D50"/>
    <w:rsid w:val="00D01D4C"/>
    <w:rsid w:val="00D14297"/>
    <w:rsid w:val="00D145AF"/>
    <w:rsid w:val="00D155AD"/>
    <w:rsid w:val="00D45051"/>
    <w:rsid w:val="00D65EFD"/>
    <w:rsid w:val="00D660B8"/>
    <w:rsid w:val="00D71695"/>
    <w:rsid w:val="00D80A08"/>
    <w:rsid w:val="00D846B8"/>
    <w:rsid w:val="00DB1F3F"/>
    <w:rsid w:val="00DD03E5"/>
    <w:rsid w:val="00DD4889"/>
    <w:rsid w:val="00DE200A"/>
    <w:rsid w:val="00DF5163"/>
    <w:rsid w:val="00E12052"/>
    <w:rsid w:val="00E26221"/>
    <w:rsid w:val="00E3590B"/>
    <w:rsid w:val="00E95B94"/>
    <w:rsid w:val="00EA17FB"/>
    <w:rsid w:val="00EB189C"/>
    <w:rsid w:val="00EC5339"/>
    <w:rsid w:val="00ED3711"/>
    <w:rsid w:val="00EF4BD3"/>
    <w:rsid w:val="00F00C56"/>
    <w:rsid w:val="00F335B4"/>
    <w:rsid w:val="00F43B9F"/>
    <w:rsid w:val="00F476AB"/>
    <w:rsid w:val="00F50370"/>
    <w:rsid w:val="00F70803"/>
    <w:rsid w:val="00F71D10"/>
    <w:rsid w:val="00F744EB"/>
    <w:rsid w:val="00FB1205"/>
    <w:rsid w:val="00FB41CC"/>
    <w:rsid w:val="00FB4465"/>
    <w:rsid w:val="00FB73F6"/>
    <w:rsid w:val="00FD0128"/>
    <w:rsid w:val="00FE1F95"/>
    <w:rsid w:val="00FE6DCD"/>
    <w:rsid w:val="00FF40EB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E3044"/>
  <w15:docId w15:val="{C688160C-1C78-4B9B-A62E-C7C93584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302F7"/>
    <w:pPr>
      <w:ind w:left="720"/>
      <w:contextualSpacing/>
    </w:pPr>
    <w:rPr>
      <w:lang w:val="en-US"/>
    </w:rPr>
  </w:style>
  <w:style w:type="paragraph" w:styleId="Revisin">
    <w:name w:val="Revision"/>
    <w:hidden/>
    <w:uiPriority w:val="99"/>
    <w:semiHidden/>
    <w:rsid w:val="006E3D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3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franda sandoval riffo</dc:creator>
  <cp:lastModifiedBy>DEPTO REGULACIÖN</cp:lastModifiedBy>
  <cp:revision>2</cp:revision>
  <cp:lastPrinted>2021-11-10T16:35:00Z</cp:lastPrinted>
  <dcterms:created xsi:type="dcterms:W3CDTF">2022-12-06T16:05:00Z</dcterms:created>
  <dcterms:modified xsi:type="dcterms:W3CDTF">2022-12-06T16:05:00Z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fa5697d07ccf590949f25e93a588a3e15c8fe6c137d7a7f853b74262dba63bf5</vt:lpwstr>
  </property>
</Properties>
</file>