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2107" w14:textId="6DB12973" w:rsidR="00217C65" w:rsidRDefault="00217C65" w:rsidP="00217C65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PROYECTO DE CIRCULAR </w:t>
      </w:r>
      <w:r w:rsidR="00B73E83">
        <w:rPr>
          <w:b/>
          <w:bCs/>
        </w:rPr>
        <w:t xml:space="preserve">MISCELÁNEA </w:t>
      </w:r>
      <w:r>
        <w:rPr>
          <w:b/>
          <w:bCs/>
        </w:rPr>
        <w:t>QUE MODIFICA LOS LIBROS I</w:t>
      </w:r>
      <w:r w:rsidR="00344277">
        <w:rPr>
          <w:b/>
          <w:bCs/>
        </w:rPr>
        <w:t xml:space="preserve">I, III, IV, </w:t>
      </w:r>
      <w:r w:rsidR="00A54962">
        <w:rPr>
          <w:b/>
          <w:bCs/>
        </w:rPr>
        <w:t xml:space="preserve">V, </w:t>
      </w:r>
      <w:r w:rsidR="00344277">
        <w:rPr>
          <w:b/>
          <w:bCs/>
        </w:rPr>
        <w:t>VI, VIII</w:t>
      </w:r>
      <w:r w:rsidR="006634D8">
        <w:rPr>
          <w:b/>
          <w:bCs/>
        </w:rPr>
        <w:t xml:space="preserve"> y IX</w:t>
      </w:r>
      <w:r>
        <w:rPr>
          <w:b/>
          <w:bCs/>
        </w:rPr>
        <w:t xml:space="preserve"> DEL </w:t>
      </w:r>
      <w:r w:rsidRPr="0092657C">
        <w:rPr>
          <w:b/>
          <w:bCs/>
        </w:rPr>
        <w:t>COMPENDIO DE NORMAS DEL SEGURO SOCIAL DE ACCIDENTES DEL TRABAJO Y ENFERMEDADES PROFESIONALES DE LA LEY N°16.744</w:t>
      </w:r>
    </w:p>
    <w:p w14:paraId="64AFD61E" w14:textId="77777777" w:rsidR="00217C65" w:rsidRPr="0092657C" w:rsidRDefault="00217C65" w:rsidP="00217C65">
      <w:pPr>
        <w:spacing w:before="120" w:after="120"/>
        <w:jc w:val="center"/>
        <w:rPr>
          <w:b/>
          <w:bCs/>
        </w:rPr>
      </w:pPr>
    </w:p>
    <w:p w14:paraId="48B62F2A" w14:textId="09D6D3E6" w:rsidR="00217C65" w:rsidRDefault="00217C65" w:rsidP="00217C65">
      <w:pPr>
        <w:spacing w:before="120" w:after="120"/>
        <w:jc w:val="both"/>
        <w:rPr>
          <w:rFonts w:cstheme="minorHAnsi"/>
          <w:color w:val="000000" w:themeColor="text1"/>
        </w:rPr>
      </w:pPr>
      <w:r>
        <w:t xml:space="preserve">Esta </w:t>
      </w:r>
      <w:r>
        <w:rPr>
          <w:rFonts w:cstheme="minorHAnsi"/>
          <w:color w:val="000000" w:themeColor="text1"/>
        </w:rPr>
        <w:t xml:space="preserve">circular complementa y/o modifica las instrucciones </w:t>
      </w:r>
      <w:r w:rsidR="00A62422">
        <w:rPr>
          <w:rFonts w:cstheme="minorHAnsi"/>
          <w:color w:val="000000" w:themeColor="text1"/>
        </w:rPr>
        <w:t xml:space="preserve">de los Libros II, III, IV, </w:t>
      </w:r>
      <w:r w:rsidR="00A119D1">
        <w:rPr>
          <w:rFonts w:cstheme="minorHAnsi"/>
          <w:color w:val="000000" w:themeColor="text1"/>
        </w:rPr>
        <w:t xml:space="preserve">V, </w:t>
      </w:r>
      <w:r w:rsidR="00A62422">
        <w:rPr>
          <w:rFonts w:cstheme="minorHAnsi"/>
          <w:color w:val="000000" w:themeColor="text1"/>
        </w:rPr>
        <w:t xml:space="preserve">VI, VIII </w:t>
      </w:r>
      <w:r w:rsidR="006634D8">
        <w:rPr>
          <w:rFonts w:cstheme="minorHAnsi"/>
          <w:color w:val="000000" w:themeColor="text1"/>
        </w:rPr>
        <w:t xml:space="preserve">Y IX </w:t>
      </w:r>
      <w:r>
        <w:rPr>
          <w:rFonts w:cstheme="minorHAnsi"/>
          <w:color w:val="000000" w:themeColor="text1"/>
        </w:rPr>
        <w:t>del Compendio de Normas del Seguro de la</w:t>
      </w:r>
      <w:r w:rsidR="00A62422">
        <w:rPr>
          <w:rFonts w:cstheme="minorHAnsi"/>
          <w:color w:val="000000" w:themeColor="text1"/>
        </w:rPr>
        <w:t xml:space="preserve"> Ley N°16.744, en</w:t>
      </w:r>
      <w:r>
        <w:rPr>
          <w:rFonts w:cstheme="minorHAnsi"/>
          <w:color w:val="000000" w:themeColor="text1"/>
        </w:rPr>
        <w:t xml:space="preserve"> </w:t>
      </w:r>
      <w:r w:rsidR="00A62422">
        <w:rPr>
          <w:rFonts w:cstheme="minorHAnsi"/>
          <w:color w:val="000000" w:themeColor="text1"/>
        </w:rPr>
        <w:t xml:space="preserve">diversos </w:t>
      </w:r>
      <w:r>
        <w:rPr>
          <w:rFonts w:cstheme="minorHAnsi"/>
          <w:color w:val="000000" w:themeColor="text1"/>
        </w:rPr>
        <w:t>aspectos</w:t>
      </w:r>
      <w:r w:rsidR="00A62422">
        <w:rPr>
          <w:rFonts w:cstheme="minorHAnsi"/>
          <w:color w:val="000000" w:themeColor="text1"/>
        </w:rPr>
        <w:t>, siendo los principales</w:t>
      </w:r>
      <w:r>
        <w:rPr>
          <w:rFonts w:cstheme="minorHAnsi"/>
          <w:color w:val="000000" w:themeColor="text1"/>
        </w:rPr>
        <w:t>:</w:t>
      </w:r>
    </w:p>
    <w:p w14:paraId="7B1096FD" w14:textId="0DA1D51B" w:rsidR="003108B2" w:rsidRDefault="00217C65" w:rsidP="00A62422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>S</w:t>
      </w:r>
      <w:r w:rsidRPr="0088493C">
        <w:t xml:space="preserve">e </w:t>
      </w:r>
      <w:r w:rsidR="006634D8">
        <w:t xml:space="preserve">incorporan en los Libros II y IV, las instrucciones </w:t>
      </w:r>
      <w:r w:rsidR="00B73E83">
        <w:t xml:space="preserve">y precisiones expresadas en </w:t>
      </w:r>
      <w:r w:rsidR="006634D8">
        <w:t xml:space="preserve">los Oficios </w:t>
      </w:r>
      <w:proofErr w:type="spellStart"/>
      <w:r w:rsidR="006634D8">
        <w:t>N°s</w:t>
      </w:r>
      <w:proofErr w:type="spellEnd"/>
      <w:r w:rsidR="006634D8">
        <w:t xml:space="preserve"> </w:t>
      </w:r>
      <w:r w:rsidR="006634D8" w:rsidRPr="006634D8">
        <w:t>O-01-S-00340-2023</w:t>
      </w:r>
      <w:r w:rsidR="00A119D1">
        <w:t xml:space="preserve"> </w:t>
      </w:r>
      <w:r w:rsidR="006634D8">
        <w:t xml:space="preserve">y </w:t>
      </w:r>
      <w:r w:rsidR="006634D8" w:rsidRPr="006634D8">
        <w:t>O-01-S-00442-2023</w:t>
      </w:r>
      <w:r w:rsidR="006634D8">
        <w:t xml:space="preserve">, de 29 de junio y 11 de julio de 2023, </w:t>
      </w:r>
      <w:r w:rsidR="00B73E83">
        <w:t xml:space="preserve">respectivamente, </w:t>
      </w:r>
      <w:r w:rsidR="00113D3F">
        <w:t xml:space="preserve">sobre </w:t>
      </w:r>
      <w:r w:rsidR="006634D8">
        <w:t xml:space="preserve">la implementación y funcionamiento de un sistema de gestión de seguridad y salud en el trabajo (SGSST), </w:t>
      </w:r>
      <w:r w:rsidR="00A119D1">
        <w:t xml:space="preserve">requisito </w:t>
      </w:r>
      <w:r w:rsidR="00113D3F">
        <w:t xml:space="preserve">que </w:t>
      </w:r>
      <w:r w:rsidR="00A119D1">
        <w:t>será exigible</w:t>
      </w:r>
      <w:r w:rsidR="00B73E83">
        <w:t xml:space="preserve"> </w:t>
      </w:r>
      <w:r w:rsidR="006634D8">
        <w:t>a contar del proceso de evaluación de siniestralidad efectiva 2023</w:t>
      </w:r>
      <w:r w:rsidR="003108B2">
        <w:t xml:space="preserve">, </w:t>
      </w:r>
      <w:r w:rsidR="00113D3F" w:rsidRPr="00B73E83">
        <w:t>para la rebaja o exención de la cotización adicional diferenciada</w:t>
      </w:r>
      <w:r w:rsidR="00113D3F">
        <w:t xml:space="preserve">. Al respecto, se establece que el funcionamiento del SGSST </w:t>
      </w:r>
      <w:r w:rsidR="006634D8">
        <w:t xml:space="preserve">implica </w:t>
      </w:r>
      <w:r w:rsidR="00113D3F">
        <w:t xml:space="preserve">también </w:t>
      </w:r>
      <w:r w:rsidR="006634D8">
        <w:t>contar con un Reglamento Interno de Higiene y Seguridad</w:t>
      </w:r>
      <w:r w:rsidR="00B73E83">
        <w:t xml:space="preserve">, </w:t>
      </w:r>
      <w:r w:rsidR="00113D3F">
        <w:t>c</w:t>
      </w:r>
      <w:r w:rsidR="006634D8">
        <w:t>umpli</w:t>
      </w:r>
      <w:r w:rsidR="00113D3F">
        <w:t>r</w:t>
      </w:r>
      <w:r w:rsidR="006634D8">
        <w:t xml:space="preserve"> la obligación de informar los riesgos laborales</w:t>
      </w:r>
      <w:r w:rsidR="00B73E83">
        <w:t xml:space="preserve"> y cuando corresponda, contar</w:t>
      </w:r>
      <w:r w:rsidR="00B73E83" w:rsidRPr="00B73E83">
        <w:t xml:space="preserve"> con Comités Paritarios de Higiene y Seguridad</w:t>
      </w:r>
      <w:r w:rsidR="006634D8">
        <w:t xml:space="preserve">. </w:t>
      </w:r>
    </w:p>
    <w:p w14:paraId="48AE4E58" w14:textId="7EBED72D" w:rsidR="00A119D1" w:rsidRDefault="006634D8" w:rsidP="00A62422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>Consecuentemente, se precisa</w:t>
      </w:r>
      <w:r w:rsidR="00A119D1">
        <w:t>n</w:t>
      </w:r>
      <w:r>
        <w:t xml:space="preserve"> </w:t>
      </w:r>
      <w:r w:rsidR="00B73E83">
        <w:t xml:space="preserve">los medios de acreditación de esos instrumentos preventivos e instruye </w:t>
      </w:r>
      <w:r w:rsidR="00113D3F">
        <w:t xml:space="preserve">verificar su cumplimiento </w:t>
      </w:r>
      <w:r>
        <w:t xml:space="preserve">en la revisión aleatoria que los organismos administradores (OA) deben efectuar </w:t>
      </w:r>
      <w:r w:rsidR="003108B2">
        <w:t>sobre el funcionamiento del SGSST</w:t>
      </w:r>
      <w:r w:rsidR="00113D3F">
        <w:t xml:space="preserve">, </w:t>
      </w:r>
      <w:r w:rsidR="00113D3F" w:rsidRPr="00113D3F">
        <w:t xml:space="preserve">el año </w:t>
      </w:r>
      <w:r w:rsidR="00113D3F">
        <w:t xml:space="preserve">calendario </w:t>
      </w:r>
      <w:r w:rsidR="00113D3F" w:rsidRPr="00113D3F">
        <w:t>siguiente al del proceso de evaluación</w:t>
      </w:r>
      <w:r w:rsidR="00113D3F">
        <w:t>.</w:t>
      </w:r>
    </w:p>
    <w:p w14:paraId="093E9A25" w14:textId="0882192A" w:rsidR="006634D8" w:rsidRDefault="00A119D1" w:rsidP="00A62422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 xml:space="preserve">En </w:t>
      </w:r>
      <w:r w:rsidR="005262E2">
        <w:t>el mismo orden de ideas</w:t>
      </w:r>
      <w:r>
        <w:t>, se modifica las tablas de dominio de un archivo que</w:t>
      </w:r>
      <w:r w:rsidR="005262E2">
        <w:t>,</w:t>
      </w:r>
      <w:r>
        <w:t xml:space="preserve"> </w:t>
      </w:r>
      <w:r w:rsidR="003108B2" w:rsidRPr="003108B2">
        <w:t>con posterioridad al término del proceso de evaluación,</w:t>
      </w:r>
      <w:r w:rsidR="003108B2">
        <w:t xml:space="preserve"> </w:t>
      </w:r>
      <w:r>
        <w:t xml:space="preserve">los OA deben enviar al sistema GRIS, con información de las entidades empleadoras que no cumplieron los requisitos para acceder a la rebaja o exención de su tasa de cotización, </w:t>
      </w:r>
      <w:r w:rsidR="003108B2">
        <w:t>de modo de poder identificar el o los requisitos incumplidos.</w:t>
      </w:r>
    </w:p>
    <w:p w14:paraId="36554856" w14:textId="3CB85BA6" w:rsidR="00B73E83" w:rsidRDefault="00B73E83" w:rsidP="00A62422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 xml:space="preserve">En armonía con </w:t>
      </w:r>
      <w:r w:rsidR="00A119D1">
        <w:t>los</w:t>
      </w:r>
      <w:r>
        <w:t xml:space="preserve"> oficios</w:t>
      </w:r>
      <w:r w:rsidR="00A119D1">
        <w:t xml:space="preserve"> singularizados en la letra a)</w:t>
      </w:r>
      <w:r w:rsidR="003108B2">
        <w:t xml:space="preserve"> precedente</w:t>
      </w:r>
      <w:r>
        <w:t xml:space="preserve">, se adecúan los formatos de las comunicaciones que los OA deben enviar a los adherentes que pueden optar a la rebaja o exención de su tasa de cotización adicional. </w:t>
      </w:r>
    </w:p>
    <w:p w14:paraId="233F7F01" w14:textId="2BE843E9" w:rsidR="00081434" w:rsidRDefault="003108B2" w:rsidP="00A62422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>Por otra parte, e</w:t>
      </w:r>
      <w:r w:rsidR="00A119D1" w:rsidRPr="00A119D1">
        <w:t xml:space="preserve">n </w:t>
      </w:r>
      <w:r w:rsidR="005262E2">
        <w:t>virtud de</w:t>
      </w:r>
      <w:r w:rsidR="00A119D1" w:rsidRPr="00A119D1">
        <w:t xml:space="preserve"> la modificación que se introdujo el año 2021 al artículo 21 del D.S. N°67, de 1999, del Ministerio del Trabajo y Previsión Social, </w:t>
      </w:r>
      <w:r w:rsidR="00A119D1">
        <w:t>s</w:t>
      </w:r>
      <w:r w:rsidR="00081434">
        <w:t xml:space="preserve">e elimina el Capítulo VI, Letra B, del Título II, del Libro II, </w:t>
      </w:r>
      <w:r w:rsidR="003416E4">
        <w:t xml:space="preserve">que </w:t>
      </w:r>
      <w:r w:rsidR="00A119D1">
        <w:t xml:space="preserve">refería a la </w:t>
      </w:r>
      <w:r w:rsidR="003416E4">
        <w:t>prohib</w:t>
      </w:r>
      <w:r w:rsidR="00A119D1">
        <w:t xml:space="preserve">ición de </w:t>
      </w:r>
      <w:r w:rsidR="003416E4">
        <w:t>las entidades empleadoras</w:t>
      </w:r>
      <w:r w:rsidR="00A119D1">
        <w:t>, de</w:t>
      </w:r>
      <w:r w:rsidR="003416E4">
        <w:t xml:space="preserve"> cambiarse de OA durante los procesos de evaluación de siniestralidad efectiva.</w:t>
      </w:r>
    </w:p>
    <w:p w14:paraId="6F50EFF6" w14:textId="1415CBFE" w:rsidR="00B73E83" w:rsidRDefault="00974E94" w:rsidP="00A62422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 xml:space="preserve">En otro orden, se </w:t>
      </w:r>
      <w:r w:rsidR="00FF0D7E">
        <w:t xml:space="preserve">establece un criterio para discernir </w:t>
      </w:r>
      <w:r>
        <w:t xml:space="preserve">cuando las mordeduras o picadura de insectos, deben ser calificadas como accidentes del trabajo y cuando </w:t>
      </w:r>
      <w:r w:rsidR="00FF0D7E">
        <w:t xml:space="preserve">deben serlo como </w:t>
      </w:r>
      <w:r>
        <w:t xml:space="preserve">enfermedades profesionales. De igual modo, se establece que no puede descartarse a priori el estudio del origen de una enfermedad por ser </w:t>
      </w:r>
      <w:r w:rsidR="009D0C00">
        <w:t xml:space="preserve">de naturaleza </w:t>
      </w:r>
      <w:r>
        <w:t>“multicausal”</w:t>
      </w:r>
      <w:r w:rsidR="00FF0D7E">
        <w:t>, si existe un factor de riesgo laboral que la explique.</w:t>
      </w:r>
    </w:p>
    <w:p w14:paraId="5A772982" w14:textId="45B4716E" w:rsidR="00B73E83" w:rsidRDefault="00FF0D7E" w:rsidP="00A62422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 xml:space="preserve">Se explicita en el Título V del Libro III, que las resoluciones de incapacidad permanente (REIP) pueden ser notificadas por correo electrónico a los trabajadores que consientan en ser notificados por esa vía, tal como ya se establece </w:t>
      </w:r>
      <w:r w:rsidR="009D0C00">
        <w:t xml:space="preserve">en el Libro III, en concordancia con las </w:t>
      </w:r>
      <w:r w:rsidR="009D0C00">
        <w:lastRenderedPageBreak/>
        <w:t>modificaciones introducidas el año 202</w:t>
      </w:r>
      <w:r w:rsidR="00BE300C">
        <w:t>1</w:t>
      </w:r>
      <w:r w:rsidR="009D0C00">
        <w:t xml:space="preserve"> al artículo 93 del D.S. N°101, de 1968, del Ministerio del Trabajo y Previsión Social.</w:t>
      </w:r>
    </w:p>
    <w:p w14:paraId="5E98DDCC" w14:textId="0C45647A" w:rsidR="00B73E83" w:rsidRDefault="00BE300C" w:rsidP="00BE300C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 xml:space="preserve">Acorde a lo resuelto en el Oficio </w:t>
      </w:r>
      <w:proofErr w:type="spellStart"/>
      <w:r>
        <w:t>N°</w:t>
      </w:r>
      <w:proofErr w:type="spellEnd"/>
      <w:r w:rsidRPr="00BE300C">
        <w:t xml:space="preserve"> O-01-S-00324-2023</w:t>
      </w:r>
      <w:r>
        <w:t xml:space="preserve">, de 27 de junio de 2023, se reemplaza los Anexos </w:t>
      </w:r>
      <w:proofErr w:type="spellStart"/>
      <w:r>
        <w:t>N°s</w:t>
      </w:r>
      <w:proofErr w:type="spellEnd"/>
      <w:r>
        <w:t>. 18 “Formulario presentación de proyecto de investigación" y 19, Formulario de presentación de proyectos de innovación", de la Letra H. Anexos, del Título III, del Libro IV.</w:t>
      </w:r>
    </w:p>
    <w:p w14:paraId="3C4D0DA7" w14:textId="533DA022" w:rsidR="00C60C7C" w:rsidRDefault="008106D2" w:rsidP="00F55556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>Respecto de la primera atención</w:t>
      </w:r>
      <w:r w:rsidR="00A119D1">
        <w:t xml:space="preserve"> médica</w:t>
      </w:r>
      <w:r>
        <w:t>, se instruye registrar en las ficha</w:t>
      </w:r>
      <w:r w:rsidR="0078545B">
        <w:t>s</w:t>
      </w:r>
      <w:r>
        <w:t xml:space="preserve"> clínica</w:t>
      </w:r>
      <w:r w:rsidR="0078545B">
        <w:t>s</w:t>
      </w:r>
      <w:r>
        <w:t xml:space="preserve"> información </w:t>
      </w:r>
      <w:r w:rsidR="003108B2">
        <w:t xml:space="preserve">complementaria </w:t>
      </w:r>
      <w:r>
        <w:t>relevante</w:t>
      </w:r>
      <w:r w:rsidR="0078545B">
        <w:t>. Para tal efecto</w:t>
      </w:r>
      <w:r w:rsidR="00F3484E">
        <w:t>,</w:t>
      </w:r>
      <w:r w:rsidR="0078545B">
        <w:t xml:space="preserve"> se reemplaza el Anexo N°1 del Título I, del Libro V, exigiendo que en la </w:t>
      </w:r>
      <w:r w:rsidR="0078545B" w:rsidRPr="0078545B">
        <w:t xml:space="preserve">anamnesis </w:t>
      </w:r>
      <w:r w:rsidR="0078545B">
        <w:t xml:space="preserve">se </w:t>
      </w:r>
      <w:r w:rsidR="00F3484E" w:rsidRPr="0078545B">
        <w:t>d</w:t>
      </w:r>
      <w:r w:rsidR="00F3484E">
        <w:t>é</w:t>
      </w:r>
      <w:r w:rsidR="0078545B" w:rsidRPr="0078545B">
        <w:t xml:space="preserve"> cuenta a cabalidad de la historia clínica del paciente, lo que permit</w:t>
      </w:r>
      <w:r w:rsidR="0078545B">
        <w:t xml:space="preserve">irá </w:t>
      </w:r>
      <w:r w:rsidR="0078545B" w:rsidRPr="0078545B">
        <w:t xml:space="preserve">dirigir mejor el diagnóstico y </w:t>
      </w:r>
      <w:r w:rsidR="0078545B">
        <w:t xml:space="preserve">evaluar la eventual </w:t>
      </w:r>
      <w:r w:rsidR="0078545B" w:rsidRPr="0078545B">
        <w:t>relaci</w:t>
      </w:r>
      <w:r w:rsidR="0078545B">
        <w:t xml:space="preserve">ón </w:t>
      </w:r>
      <w:r w:rsidR="0078545B" w:rsidRPr="0078545B">
        <w:t xml:space="preserve">con su trabajo. </w:t>
      </w:r>
      <w:r w:rsidR="00A119D1">
        <w:t xml:space="preserve"> </w:t>
      </w:r>
    </w:p>
    <w:p w14:paraId="0459545D" w14:textId="73D0C533" w:rsidR="00F03DBB" w:rsidRDefault="00F03DBB" w:rsidP="00F55556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 xml:space="preserve">En materia de prestaciones económicas, se </w:t>
      </w:r>
      <w:r w:rsidR="00A119D1">
        <w:t>aclara</w:t>
      </w:r>
      <w:r>
        <w:t xml:space="preserve"> que la pensión de invalidez total transitoria no </w:t>
      </w:r>
      <w:r w:rsidR="003108B2">
        <w:t xml:space="preserve">constituye estrictamente </w:t>
      </w:r>
      <w:r>
        <w:t xml:space="preserve">una pensión de invalidez y </w:t>
      </w:r>
      <w:r w:rsidR="00A119D1">
        <w:t xml:space="preserve">en </w:t>
      </w:r>
      <w:r w:rsidR="003108B2">
        <w:t xml:space="preserve">cuanto </w:t>
      </w:r>
      <w:r w:rsidR="00A119D1">
        <w:t>al</w:t>
      </w:r>
      <w:r>
        <w:t xml:space="preserve"> pago de </w:t>
      </w:r>
      <w:r w:rsidR="00F63C41">
        <w:t xml:space="preserve">la </w:t>
      </w:r>
      <w:r>
        <w:t>indemnización global, se reemplaza la actual denominación del documento de pago (“Resolución o finiquito”), por “Liquidación de pago”.</w:t>
      </w:r>
    </w:p>
    <w:p w14:paraId="726BE466" w14:textId="0C4E9535" w:rsidR="00B73E83" w:rsidRDefault="003108B2" w:rsidP="00A62422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>Acorde a l</w:t>
      </w:r>
      <w:r w:rsidR="00B365C9">
        <w:t xml:space="preserve">o resuelto en los Oficios </w:t>
      </w:r>
      <w:proofErr w:type="spellStart"/>
      <w:r w:rsidR="00B365C9">
        <w:t>N°s</w:t>
      </w:r>
      <w:proofErr w:type="spellEnd"/>
      <w:r w:rsidR="00B365C9">
        <w:t xml:space="preserve"> 214 y </w:t>
      </w:r>
      <w:r w:rsidR="00B365C9" w:rsidRPr="00B365C9">
        <w:t>O-01-S-00026-2023</w:t>
      </w:r>
      <w:r w:rsidR="00B365C9">
        <w:t xml:space="preserve">, de 9 de enero y 1 de marzo de 2023, se modifica el Anexo N°60, </w:t>
      </w:r>
      <w:r w:rsidR="00B365C9" w:rsidRPr="00B365C9">
        <w:t>“Documento electrónico de fundamentos de la calificación de origen común de accidente del trabajo o de trayecto”, de la Letra C</w:t>
      </w:r>
      <w:r w:rsidR="00B365C9">
        <w:t xml:space="preserve">, </w:t>
      </w:r>
      <w:r w:rsidR="00B365C9" w:rsidRPr="00B365C9">
        <w:t>del Título I</w:t>
      </w:r>
      <w:r w:rsidR="00B365C9">
        <w:t>, del Libro IX, estableci</w:t>
      </w:r>
      <w:r w:rsidR="00056EB5">
        <w:t>endo</w:t>
      </w:r>
      <w:r w:rsidR="00B365C9">
        <w:t xml:space="preserve"> que la remisión del contrato de trabajo,</w:t>
      </w:r>
      <w:r>
        <w:t xml:space="preserve"> del </w:t>
      </w:r>
      <w:r w:rsidR="00B365C9">
        <w:t xml:space="preserve">registro de asistencia y </w:t>
      </w:r>
      <w:r>
        <w:t xml:space="preserve">del </w:t>
      </w:r>
      <w:r w:rsidR="00B365C9">
        <w:t>croquis o mapa, será opcional y no obligatoria.</w:t>
      </w:r>
    </w:p>
    <w:p w14:paraId="02E8C342" w14:textId="77777777" w:rsidR="003416E4" w:rsidRDefault="003416E4" w:rsidP="00C60C7C">
      <w:pPr>
        <w:pStyle w:val="Prrafodelista"/>
        <w:spacing w:before="120" w:after="120"/>
        <w:ind w:left="284"/>
        <w:contextualSpacing w:val="0"/>
        <w:jc w:val="both"/>
      </w:pPr>
    </w:p>
    <w:p w14:paraId="0A56C139" w14:textId="77777777" w:rsidR="00217C65" w:rsidRPr="004B644C" w:rsidRDefault="00217C65" w:rsidP="00217C65">
      <w:pPr>
        <w:jc w:val="both"/>
        <w:rPr>
          <w:lang w:val="es-ES"/>
        </w:rPr>
      </w:pPr>
      <w:r w:rsidRPr="004B644C">
        <w:rPr>
          <w:lang w:val="es-ES"/>
        </w:rPr>
        <w:t xml:space="preserve">Para efectuar comentarios al presente proyecto de circular, se solicita enviar el archivo que se adjunta a continuación, al correo electrónico </w:t>
      </w:r>
      <w:hyperlink r:id="rId7" w:history="1">
        <w:r w:rsidRPr="004B644C">
          <w:rPr>
            <w:rStyle w:val="Hipervnculo"/>
            <w:lang w:val="es-ES"/>
          </w:rPr>
          <w:t>isesa</w:t>
        </w:r>
        <w:r w:rsidRPr="00411FFE">
          <w:rPr>
            <w:rStyle w:val="Hipervnculo"/>
          </w:rPr>
          <w:t>t</w:t>
        </w:r>
        <w:r w:rsidRPr="004B644C">
          <w:rPr>
            <w:rStyle w:val="Hipervnculo"/>
            <w:lang w:val="es-ES"/>
          </w:rPr>
          <w:t>@suseso.cl</w:t>
        </w:r>
      </w:hyperlink>
      <w:r w:rsidRPr="004B644C">
        <w:rPr>
          <w:lang w:val="es-ES"/>
        </w:rPr>
        <w:t>.</w:t>
      </w:r>
    </w:p>
    <w:p w14:paraId="43C5A614" w14:textId="77777777" w:rsidR="004D3971" w:rsidRPr="004D3971" w:rsidRDefault="004D3971" w:rsidP="004D3971">
      <w:pPr>
        <w:spacing w:before="120" w:after="120"/>
        <w:jc w:val="both"/>
        <w:rPr>
          <w:lang w:val="es-ES"/>
        </w:rPr>
      </w:pPr>
    </w:p>
    <w:p w14:paraId="341152B2" w14:textId="3294A449" w:rsidR="00B64BF5" w:rsidRDefault="00B64BF5" w:rsidP="00B64BF5">
      <w:pPr>
        <w:spacing w:before="120" w:after="120"/>
        <w:ind w:left="425"/>
        <w:jc w:val="both"/>
      </w:pPr>
    </w:p>
    <w:p w14:paraId="0B6F5D77" w14:textId="7BBB9DC3" w:rsidR="00F455ED" w:rsidRDefault="00F455ED" w:rsidP="00B64BF5">
      <w:pPr>
        <w:spacing w:before="120" w:after="120"/>
        <w:ind w:left="425"/>
        <w:jc w:val="both"/>
      </w:pPr>
    </w:p>
    <w:p w14:paraId="67A046E9" w14:textId="59587AFE" w:rsidR="00F455ED" w:rsidRDefault="00F455ED" w:rsidP="00B64BF5">
      <w:pPr>
        <w:spacing w:before="120" w:after="120"/>
        <w:ind w:left="425"/>
        <w:jc w:val="both"/>
      </w:pPr>
    </w:p>
    <w:p w14:paraId="10A562BB" w14:textId="5FCA1E40" w:rsidR="00F455ED" w:rsidRDefault="00F455ED" w:rsidP="00AF04D7">
      <w:pPr>
        <w:spacing w:before="120" w:after="120"/>
        <w:jc w:val="both"/>
        <w:sectPr w:rsidR="00F455ED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F455ED" w14:paraId="3A14F260" w14:textId="77777777" w:rsidTr="006B791A">
        <w:trPr>
          <w:jc w:val="center"/>
        </w:trPr>
        <w:tc>
          <w:tcPr>
            <w:tcW w:w="12328" w:type="dxa"/>
            <w:gridSpan w:val="5"/>
          </w:tcPr>
          <w:p w14:paraId="7262243B" w14:textId="50E9792B" w:rsidR="00F455ED" w:rsidRPr="001854AB" w:rsidRDefault="00F455ED" w:rsidP="00F455ED">
            <w:pPr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lastRenderedPageBreak/>
              <w:t xml:space="preserve">OBSERVACIONES AL PROYECTO DE CIRCULAR </w:t>
            </w:r>
            <w:r w:rsidR="00217F1A" w:rsidRPr="00217F1A">
              <w:rPr>
                <w:b/>
                <w:bCs/>
                <w:sz w:val="28"/>
                <w:szCs w:val="28"/>
              </w:rPr>
              <w:t>MISCELÁNEA QUE MODIFICA LOS LIBROS II, III, IV, V, VI, VIII y IX DEL COMPENDIO DE NORMAS DEL SEGURO SOCIAL DE ACCIDENTES DEL TRABAJO Y ENFERMEDADES PROFESIONALES DE LA LEY N°16.744</w:t>
            </w:r>
          </w:p>
        </w:tc>
      </w:tr>
      <w:tr w:rsidR="00F455ED" w14:paraId="29B45B0C" w14:textId="77777777" w:rsidTr="006B791A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50A32451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 w:themeFill="accent1" w:themeFillShade="BF"/>
          </w:tcPr>
          <w:p w14:paraId="1DB510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O </w:t>
            </w:r>
            <w:r w:rsidRPr="001854AB">
              <w:rPr>
                <w:color w:val="FFFFFF" w:themeColor="background1"/>
              </w:rPr>
              <w:t xml:space="preserve"> PROYECTO</w:t>
            </w:r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F5496" w:themeFill="accent1" w:themeFillShade="BF"/>
          </w:tcPr>
          <w:p w14:paraId="463ED10E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COMPENDIO, 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72E6EEA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205F9F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0F6ED37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55043460" w14:textId="77777777" w:rsidTr="006B791A">
        <w:trPr>
          <w:jc w:val="center"/>
        </w:trPr>
        <w:tc>
          <w:tcPr>
            <w:tcW w:w="1696" w:type="dxa"/>
          </w:tcPr>
          <w:p w14:paraId="07159FC6" w14:textId="77777777" w:rsidR="00F455ED" w:rsidRDefault="00F455ED" w:rsidP="006B791A">
            <w:r>
              <w:t>Ejemplo:</w:t>
            </w:r>
          </w:p>
          <w:p w14:paraId="639F1C2F" w14:textId="77777777" w:rsidR="00F455ED" w:rsidRDefault="00F455ED" w:rsidP="006B791A"/>
          <w:p w14:paraId="6A092C2F" w14:textId="77777777" w:rsidR="00F455ED" w:rsidRDefault="00F455ED" w:rsidP="006B791A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7CF1039A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452426CD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</w:p>
          <w:p w14:paraId="16F16A0E" w14:textId="77777777" w:rsidR="00F455ED" w:rsidRDefault="00F455ED" w:rsidP="006B791A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467E5DEC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8E60178" w14:textId="77777777" w:rsidR="00F455ED" w:rsidRPr="00BD23B6" w:rsidRDefault="00F455ED" w:rsidP="006B791A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2AD35786" w14:textId="77777777" w:rsidR="00F455ED" w:rsidRDefault="00F455ED" w:rsidP="006B791A"/>
        </w:tc>
        <w:tc>
          <w:tcPr>
            <w:tcW w:w="2835" w:type="dxa"/>
          </w:tcPr>
          <w:p w14:paraId="08D17E22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67E098A5" w14:textId="77777777" w:rsidR="00F455ED" w:rsidRDefault="00F455ED" w:rsidP="006B791A"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</w:t>
            </w:r>
            <w:r w:rsidRPr="00BD23B6">
              <w:rPr>
                <w:color w:val="808080" w:themeColor="background1" w:themeShade="80"/>
              </w:rPr>
              <w:lastRenderedPageBreak/>
              <w:t>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2E4CD7EC" w14:textId="77777777" w:rsidR="00F455ED" w:rsidRDefault="00F455ED" w:rsidP="006B791A"/>
        </w:tc>
      </w:tr>
      <w:tr w:rsidR="00F455ED" w14:paraId="04D00ADE" w14:textId="77777777" w:rsidTr="006B791A">
        <w:trPr>
          <w:jc w:val="center"/>
        </w:trPr>
        <w:tc>
          <w:tcPr>
            <w:tcW w:w="1696" w:type="dxa"/>
          </w:tcPr>
          <w:p w14:paraId="1D5A3732" w14:textId="77777777" w:rsidR="00F455ED" w:rsidRDefault="00F455ED" w:rsidP="006B791A"/>
        </w:tc>
        <w:tc>
          <w:tcPr>
            <w:tcW w:w="1985" w:type="dxa"/>
          </w:tcPr>
          <w:p w14:paraId="2904375B" w14:textId="77777777" w:rsidR="00F455ED" w:rsidRDefault="00F455ED" w:rsidP="006B791A"/>
        </w:tc>
        <w:tc>
          <w:tcPr>
            <w:tcW w:w="1984" w:type="dxa"/>
          </w:tcPr>
          <w:p w14:paraId="21CC6EC2" w14:textId="77777777" w:rsidR="00F455ED" w:rsidRDefault="00F455ED" w:rsidP="006B791A"/>
        </w:tc>
        <w:tc>
          <w:tcPr>
            <w:tcW w:w="2835" w:type="dxa"/>
          </w:tcPr>
          <w:p w14:paraId="3AC1D401" w14:textId="77777777" w:rsidR="00F455ED" w:rsidRDefault="00F455ED" w:rsidP="006B791A"/>
        </w:tc>
        <w:tc>
          <w:tcPr>
            <w:tcW w:w="3828" w:type="dxa"/>
          </w:tcPr>
          <w:p w14:paraId="38EF07CD" w14:textId="77777777" w:rsidR="00F455ED" w:rsidRDefault="00F455ED" w:rsidP="006B791A"/>
          <w:p w14:paraId="450B0A5B" w14:textId="77777777" w:rsidR="00F455ED" w:rsidRDefault="00F455ED" w:rsidP="006B791A"/>
          <w:p w14:paraId="53991874" w14:textId="77777777" w:rsidR="00F455ED" w:rsidRDefault="00F455ED" w:rsidP="006B791A"/>
          <w:p w14:paraId="334BFA5A" w14:textId="77777777" w:rsidR="00F455ED" w:rsidRDefault="00F455ED" w:rsidP="006B791A"/>
        </w:tc>
      </w:tr>
      <w:tr w:rsidR="00F455ED" w14:paraId="4D762B4F" w14:textId="77777777" w:rsidTr="006B791A">
        <w:trPr>
          <w:jc w:val="center"/>
        </w:trPr>
        <w:tc>
          <w:tcPr>
            <w:tcW w:w="1696" w:type="dxa"/>
          </w:tcPr>
          <w:p w14:paraId="3C3D94A8" w14:textId="77777777" w:rsidR="00F455ED" w:rsidRDefault="00F455ED" w:rsidP="006B791A"/>
        </w:tc>
        <w:tc>
          <w:tcPr>
            <w:tcW w:w="1985" w:type="dxa"/>
          </w:tcPr>
          <w:p w14:paraId="217CB8BD" w14:textId="77777777" w:rsidR="00F455ED" w:rsidRDefault="00F455ED" w:rsidP="006B791A"/>
        </w:tc>
        <w:tc>
          <w:tcPr>
            <w:tcW w:w="1984" w:type="dxa"/>
          </w:tcPr>
          <w:p w14:paraId="48C7FDFB" w14:textId="77777777" w:rsidR="00F455ED" w:rsidRDefault="00F455ED" w:rsidP="006B791A"/>
        </w:tc>
        <w:tc>
          <w:tcPr>
            <w:tcW w:w="2835" w:type="dxa"/>
          </w:tcPr>
          <w:p w14:paraId="3B675F6C" w14:textId="77777777" w:rsidR="00F455ED" w:rsidRDefault="00F455ED" w:rsidP="006B791A"/>
        </w:tc>
        <w:tc>
          <w:tcPr>
            <w:tcW w:w="3828" w:type="dxa"/>
          </w:tcPr>
          <w:p w14:paraId="07C498E4" w14:textId="77777777" w:rsidR="00F455ED" w:rsidRDefault="00F455ED" w:rsidP="006B791A"/>
          <w:p w14:paraId="1C2A1076" w14:textId="77777777" w:rsidR="00F455ED" w:rsidRDefault="00F455ED" w:rsidP="006B791A"/>
          <w:p w14:paraId="14C64A19" w14:textId="77777777" w:rsidR="00F455ED" w:rsidRDefault="00F455ED" w:rsidP="006B791A"/>
          <w:p w14:paraId="161562A6" w14:textId="77777777" w:rsidR="00F455ED" w:rsidRDefault="00F455ED" w:rsidP="006B791A"/>
        </w:tc>
      </w:tr>
      <w:tr w:rsidR="00F455ED" w14:paraId="53D6CDBC" w14:textId="77777777" w:rsidTr="006B791A">
        <w:trPr>
          <w:jc w:val="center"/>
        </w:trPr>
        <w:tc>
          <w:tcPr>
            <w:tcW w:w="1696" w:type="dxa"/>
          </w:tcPr>
          <w:p w14:paraId="49684798" w14:textId="77777777" w:rsidR="00F455ED" w:rsidRDefault="00F455ED" w:rsidP="006B791A"/>
        </w:tc>
        <w:tc>
          <w:tcPr>
            <w:tcW w:w="1985" w:type="dxa"/>
          </w:tcPr>
          <w:p w14:paraId="408F8083" w14:textId="77777777" w:rsidR="00F455ED" w:rsidRDefault="00F455ED" w:rsidP="006B791A"/>
        </w:tc>
        <w:tc>
          <w:tcPr>
            <w:tcW w:w="1984" w:type="dxa"/>
          </w:tcPr>
          <w:p w14:paraId="5C4209D0" w14:textId="77777777" w:rsidR="00F455ED" w:rsidRDefault="00F455ED" w:rsidP="006B791A"/>
        </w:tc>
        <w:tc>
          <w:tcPr>
            <w:tcW w:w="2835" w:type="dxa"/>
          </w:tcPr>
          <w:p w14:paraId="6C7F63CD" w14:textId="77777777" w:rsidR="00F455ED" w:rsidRDefault="00F455ED" w:rsidP="006B791A"/>
        </w:tc>
        <w:tc>
          <w:tcPr>
            <w:tcW w:w="3828" w:type="dxa"/>
          </w:tcPr>
          <w:p w14:paraId="6E24973F" w14:textId="77777777" w:rsidR="00F455ED" w:rsidRDefault="00F455ED" w:rsidP="006B791A"/>
          <w:p w14:paraId="0CCB3BC2" w14:textId="77777777" w:rsidR="00F455ED" w:rsidRDefault="00F455ED" w:rsidP="006B791A"/>
          <w:p w14:paraId="6BC03C4B" w14:textId="77777777" w:rsidR="00F455ED" w:rsidRDefault="00F455ED" w:rsidP="006B791A"/>
          <w:p w14:paraId="48D5F9A3" w14:textId="77777777" w:rsidR="00F455ED" w:rsidRDefault="00F455ED" w:rsidP="006B791A"/>
        </w:tc>
      </w:tr>
      <w:tr w:rsidR="00F455ED" w14:paraId="36C3226B" w14:textId="77777777" w:rsidTr="006B791A">
        <w:trPr>
          <w:jc w:val="center"/>
        </w:trPr>
        <w:tc>
          <w:tcPr>
            <w:tcW w:w="1696" w:type="dxa"/>
          </w:tcPr>
          <w:p w14:paraId="729F983C" w14:textId="77777777" w:rsidR="00F455ED" w:rsidRDefault="00F455ED" w:rsidP="006B791A"/>
        </w:tc>
        <w:tc>
          <w:tcPr>
            <w:tcW w:w="1985" w:type="dxa"/>
          </w:tcPr>
          <w:p w14:paraId="6FA0280F" w14:textId="77777777" w:rsidR="00F455ED" w:rsidRDefault="00F455ED" w:rsidP="006B791A"/>
        </w:tc>
        <w:tc>
          <w:tcPr>
            <w:tcW w:w="1984" w:type="dxa"/>
          </w:tcPr>
          <w:p w14:paraId="6E2DC7CD" w14:textId="77777777" w:rsidR="00F455ED" w:rsidRDefault="00F455ED" w:rsidP="006B791A"/>
        </w:tc>
        <w:tc>
          <w:tcPr>
            <w:tcW w:w="2835" w:type="dxa"/>
          </w:tcPr>
          <w:p w14:paraId="6D56E327" w14:textId="77777777" w:rsidR="00F455ED" w:rsidRDefault="00F455ED" w:rsidP="006B791A"/>
        </w:tc>
        <w:tc>
          <w:tcPr>
            <w:tcW w:w="3828" w:type="dxa"/>
          </w:tcPr>
          <w:p w14:paraId="39554DB9" w14:textId="77777777" w:rsidR="00F455ED" w:rsidRDefault="00F455ED" w:rsidP="006B791A"/>
          <w:p w14:paraId="1893841B" w14:textId="77777777" w:rsidR="00F455ED" w:rsidRDefault="00F455ED" w:rsidP="006B791A"/>
          <w:p w14:paraId="6E3FC7BD" w14:textId="77777777" w:rsidR="00F455ED" w:rsidRDefault="00F455ED" w:rsidP="006B791A"/>
          <w:p w14:paraId="1FDE85E3" w14:textId="77777777" w:rsidR="00F455ED" w:rsidRDefault="00F455ED" w:rsidP="006B791A"/>
        </w:tc>
      </w:tr>
      <w:tr w:rsidR="00F455ED" w14:paraId="13C41C26" w14:textId="77777777" w:rsidTr="006B791A">
        <w:trPr>
          <w:jc w:val="center"/>
        </w:trPr>
        <w:tc>
          <w:tcPr>
            <w:tcW w:w="1696" w:type="dxa"/>
          </w:tcPr>
          <w:p w14:paraId="770C2B40" w14:textId="77777777" w:rsidR="00F455ED" w:rsidRDefault="00F455ED" w:rsidP="006B791A"/>
        </w:tc>
        <w:tc>
          <w:tcPr>
            <w:tcW w:w="1985" w:type="dxa"/>
          </w:tcPr>
          <w:p w14:paraId="28E421EC" w14:textId="77777777" w:rsidR="00F455ED" w:rsidRDefault="00F455ED" w:rsidP="006B791A"/>
        </w:tc>
        <w:tc>
          <w:tcPr>
            <w:tcW w:w="1984" w:type="dxa"/>
          </w:tcPr>
          <w:p w14:paraId="52F63552" w14:textId="77777777" w:rsidR="00F455ED" w:rsidRDefault="00F455ED" w:rsidP="006B791A"/>
        </w:tc>
        <w:tc>
          <w:tcPr>
            <w:tcW w:w="2835" w:type="dxa"/>
          </w:tcPr>
          <w:p w14:paraId="4A687BC8" w14:textId="77777777" w:rsidR="00F455ED" w:rsidRDefault="00F455ED" w:rsidP="006B791A"/>
        </w:tc>
        <w:tc>
          <w:tcPr>
            <w:tcW w:w="3828" w:type="dxa"/>
          </w:tcPr>
          <w:p w14:paraId="25617E33" w14:textId="77777777" w:rsidR="00F455ED" w:rsidRDefault="00F455ED" w:rsidP="006B791A"/>
          <w:p w14:paraId="28333C80" w14:textId="77777777" w:rsidR="00F455ED" w:rsidRDefault="00F455ED" w:rsidP="006B791A"/>
          <w:p w14:paraId="50A4C966" w14:textId="77777777" w:rsidR="00F455ED" w:rsidRDefault="00F455ED" w:rsidP="006B791A"/>
          <w:p w14:paraId="5CCF3228" w14:textId="77777777" w:rsidR="00F455ED" w:rsidRDefault="00F455ED" w:rsidP="006B791A"/>
        </w:tc>
      </w:tr>
    </w:tbl>
    <w:p w14:paraId="0B18AED0" w14:textId="0F5024ED" w:rsidR="00F455ED" w:rsidRDefault="00F455ED" w:rsidP="00B64BF5">
      <w:pPr>
        <w:spacing w:before="120" w:after="120"/>
        <w:ind w:left="425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67D5D" w14:textId="77777777" w:rsidR="005D05B2" w:rsidRDefault="005D05B2" w:rsidP="00807ED0">
      <w:pPr>
        <w:spacing w:after="0" w:line="240" w:lineRule="auto"/>
      </w:pPr>
      <w:r>
        <w:separator/>
      </w:r>
    </w:p>
  </w:endnote>
  <w:endnote w:type="continuationSeparator" w:id="0">
    <w:p w14:paraId="7107EA4D" w14:textId="77777777" w:rsidR="005D05B2" w:rsidRDefault="005D05B2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755867"/>
      <w:docPartObj>
        <w:docPartGallery w:val="Page Numbers (Bottom of Page)"/>
        <w:docPartUnique/>
      </w:docPartObj>
    </w:sdtPr>
    <w:sdtContent>
      <w:p w14:paraId="1B2F0C2A" w14:textId="13DC7260" w:rsidR="00807ED0" w:rsidRDefault="00807E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32F" w:rsidRPr="0075532F">
          <w:rPr>
            <w:noProof/>
            <w:lang w:val="es-ES"/>
          </w:rPr>
          <w:t>1</w:t>
        </w:r>
        <w:r>
          <w:fldChar w:fldCharType="end"/>
        </w:r>
      </w:p>
    </w:sdtContent>
  </w:sdt>
  <w:p w14:paraId="398B8749" w14:textId="77777777" w:rsidR="00807ED0" w:rsidRDefault="00807E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E2774" w14:textId="77777777" w:rsidR="005D05B2" w:rsidRDefault="005D05B2" w:rsidP="00807ED0">
      <w:pPr>
        <w:spacing w:after="0" w:line="240" w:lineRule="auto"/>
      </w:pPr>
      <w:r>
        <w:separator/>
      </w:r>
    </w:p>
  </w:footnote>
  <w:footnote w:type="continuationSeparator" w:id="0">
    <w:p w14:paraId="6B56B5C2" w14:textId="77777777" w:rsidR="005D05B2" w:rsidRDefault="005D05B2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E599" w14:textId="299AA81D" w:rsidR="00AF04D7" w:rsidRDefault="00AF04D7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7216" behindDoc="0" locked="0" layoutInCell="1" allowOverlap="1" wp14:anchorId="056F5A26" wp14:editId="1BE207D9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187E529" w14:textId="77777777" w:rsidR="00AF04D7" w:rsidRDefault="00AF04D7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AAA7177" w14:textId="753912FF" w:rsidR="00AF04D7" w:rsidRPr="00AF04D7" w:rsidRDefault="00AF04D7">
    <w:pPr>
      <w:pStyle w:val="Encabezado"/>
      <w:rPr>
        <w:lang w:val="es-ES"/>
      </w:rPr>
    </w:pPr>
  </w:p>
  <w:p w14:paraId="0E010513" w14:textId="77777777" w:rsidR="00AF04D7" w:rsidRDefault="00AF0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4C92"/>
    <w:multiLevelType w:val="hybridMultilevel"/>
    <w:tmpl w:val="6A361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34555">
    <w:abstractNumId w:val="2"/>
  </w:num>
  <w:num w:numId="2" w16cid:durableId="2132749021">
    <w:abstractNumId w:val="7"/>
  </w:num>
  <w:num w:numId="3" w16cid:durableId="503857027">
    <w:abstractNumId w:val="6"/>
  </w:num>
  <w:num w:numId="4" w16cid:durableId="895552458">
    <w:abstractNumId w:val="3"/>
  </w:num>
  <w:num w:numId="5" w16cid:durableId="664629825">
    <w:abstractNumId w:val="0"/>
  </w:num>
  <w:num w:numId="6" w16cid:durableId="2143377906">
    <w:abstractNumId w:val="4"/>
  </w:num>
  <w:num w:numId="7" w16cid:durableId="1965961712">
    <w:abstractNumId w:val="5"/>
  </w:num>
  <w:num w:numId="8" w16cid:durableId="911504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B9C"/>
    <w:rsid w:val="00056EB5"/>
    <w:rsid w:val="00071341"/>
    <w:rsid w:val="00081434"/>
    <w:rsid w:val="00084638"/>
    <w:rsid w:val="00085F6E"/>
    <w:rsid w:val="00107E1D"/>
    <w:rsid w:val="00113D3F"/>
    <w:rsid w:val="00124062"/>
    <w:rsid w:val="00160560"/>
    <w:rsid w:val="00183CC0"/>
    <w:rsid w:val="001910DD"/>
    <w:rsid w:val="00197805"/>
    <w:rsid w:val="001F03AE"/>
    <w:rsid w:val="00217C65"/>
    <w:rsid w:val="00217F1A"/>
    <w:rsid w:val="00267CC4"/>
    <w:rsid w:val="00273D5B"/>
    <w:rsid w:val="002A0018"/>
    <w:rsid w:val="002A71C9"/>
    <w:rsid w:val="002E1694"/>
    <w:rsid w:val="002F3EE4"/>
    <w:rsid w:val="002F5BEA"/>
    <w:rsid w:val="003108B2"/>
    <w:rsid w:val="003416E4"/>
    <w:rsid w:val="00344277"/>
    <w:rsid w:val="003510DD"/>
    <w:rsid w:val="00397EB0"/>
    <w:rsid w:val="003C5C11"/>
    <w:rsid w:val="003D236F"/>
    <w:rsid w:val="004A175F"/>
    <w:rsid w:val="004B2AE6"/>
    <w:rsid w:val="004B6D96"/>
    <w:rsid w:val="004C514E"/>
    <w:rsid w:val="004D3971"/>
    <w:rsid w:val="004E5A19"/>
    <w:rsid w:val="004F38DF"/>
    <w:rsid w:val="005133CE"/>
    <w:rsid w:val="005262E2"/>
    <w:rsid w:val="005D05B2"/>
    <w:rsid w:val="006634D8"/>
    <w:rsid w:val="006A1900"/>
    <w:rsid w:val="006F330D"/>
    <w:rsid w:val="0075532F"/>
    <w:rsid w:val="0078545B"/>
    <w:rsid w:val="007B0E0C"/>
    <w:rsid w:val="007B2F73"/>
    <w:rsid w:val="007E7BC1"/>
    <w:rsid w:val="008002E8"/>
    <w:rsid w:val="00807ED0"/>
    <w:rsid w:val="008106D2"/>
    <w:rsid w:val="00877956"/>
    <w:rsid w:val="008A503B"/>
    <w:rsid w:val="008C4414"/>
    <w:rsid w:val="008D1065"/>
    <w:rsid w:val="008D3DB3"/>
    <w:rsid w:val="008F10DB"/>
    <w:rsid w:val="0092657C"/>
    <w:rsid w:val="00974E94"/>
    <w:rsid w:val="00983360"/>
    <w:rsid w:val="00983BA0"/>
    <w:rsid w:val="00990B99"/>
    <w:rsid w:val="009D0C00"/>
    <w:rsid w:val="009E3F44"/>
    <w:rsid w:val="009E5760"/>
    <w:rsid w:val="00A071EE"/>
    <w:rsid w:val="00A119D1"/>
    <w:rsid w:val="00A237EC"/>
    <w:rsid w:val="00A36E4E"/>
    <w:rsid w:val="00A45B9C"/>
    <w:rsid w:val="00A54962"/>
    <w:rsid w:val="00A62422"/>
    <w:rsid w:val="00A83763"/>
    <w:rsid w:val="00AC2A04"/>
    <w:rsid w:val="00AF04D7"/>
    <w:rsid w:val="00B03110"/>
    <w:rsid w:val="00B317D3"/>
    <w:rsid w:val="00B35DB0"/>
    <w:rsid w:val="00B365C9"/>
    <w:rsid w:val="00B64BF5"/>
    <w:rsid w:val="00B73E83"/>
    <w:rsid w:val="00B84A94"/>
    <w:rsid w:val="00BC2129"/>
    <w:rsid w:val="00BE300C"/>
    <w:rsid w:val="00C238D3"/>
    <w:rsid w:val="00C60C7C"/>
    <w:rsid w:val="00D426DE"/>
    <w:rsid w:val="00D74401"/>
    <w:rsid w:val="00D9613F"/>
    <w:rsid w:val="00DB123A"/>
    <w:rsid w:val="00DB1DEF"/>
    <w:rsid w:val="00DD7884"/>
    <w:rsid w:val="00E11150"/>
    <w:rsid w:val="00E358D2"/>
    <w:rsid w:val="00F03DBB"/>
    <w:rsid w:val="00F3484E"/>
    <w:rsid w:val="00F353C0"/>
    <w:rsid w:val="00F4243D"/>
    <w:rsid w:val="00F44745"/>
    <w:rsid w:val="00F455ED"/>
    <w:rsid w:val="00F63C41"/>
    <w:rsid w:val="00F77C3A"/>
    <w:rsid w:val="00F85D76"/>
    <w:rsid w:val="00FA26DE"/>
    <w:rsid w:val="00FA3D51"/>
    <w:rsid w:val="00FA4566"/>
    <w:rsid w:val="00FA4FAB"/>
    <w:rsid w:val="00FC03AA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0B2"/>
  <w15:docId w15:val="{223FEA14-9C48-416E-AF66-B85A6A1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Fabián Ramirez</dc:creator>
  <cp:lastModifiedBy>Erick Aguilera</cp:lastModifiedBy>
  <cp:revision>3</cp:revision>
  <dcterms:created xsi:type="dcterms:W3CDTF">2023-08-31T23:36:00Z</dcterms:created>
  <dcterms:modified xsi:type="dcterms:W3CDTF">2023-09-01T00:31:00Z</dcterms:modified>
</cp:coreProperties>
</file>