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02107" w14:textId="563AF7F2" w:rsidR="00217C65" w:rsidRDefault="00217C65" w:rsidP="00B65481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</w:t>
      </w:r>
      <w:r w:rsidR="00670BFC">
        <w:rPr>
          <w:b/>
          <w:bCs/>
        </w:rPr>
        <w:t xml:space="preserve">CIRCULAR </w:t>
      </w:r>
      <w:r w:rsidRPr="001B44D1">
        <w:rPr>
          <w:b/>
          <w:bCs/>
        </w:rPr>
        <w:t>QUE</w:t>
      </w:r>
      <w:r w:rsidR="00960716" w:rsidRPr="001B44D1">
        <w:rPr>
          <w:b/>
        </w:rPr>
        <w:t xml:space="preserve"> </w:t>
      </w:r>
      <w:r w:rsidR="001B44D1" w:rsidRPr="001B44D1">
        <w:rPr>
          <w:b/>
        </w:rPr>
        <w:t xml:space="preserve">IMPARTE </w:t>
      </w:r>
      <w:r w:rsidR="00960716" w:rsidRPr="001B44D1">
        <w:rPr>
          <w:b/>
          <w:bCs/>
        </w:rPr>
        <w:t>INSTRUCCIONES</w:t>
      </w:r>
      <w:r w:rsidR="00960716" w:rsidRPr="00960716">
        <w:rPr>
          <w:b/>
          <w:bCs/>
        </w:rPr>
        <w:t xml:space="preserve"> SOBRE </w:t>
      </w:r>
      <w:r w:rsidR="001B44D1">
        <w:rPr>
          <w:b/>
          <w:bCs/>
        </w:rPr>
        <w:t xml:space="preserve">LA </w:t>
      </w:r>
      <w:bookmarkStart w:id="0" w:name="_GoBack"/>
      <w:bookmarkEnd w:id="0"/>
      <w:r w:rsidR="00960716" w:rsidRPr="00960716">
        <w:rPr>
          <w:b/>
          <w:bCs/>
        </w:rPr>
        <w:t>VIGILANCIA AMBIENTAL Y DE LA SALUD</w:t>
      </w:r>
      <w:r w:rsidR="00960716">
        <w:rPr>
          <w:b/>
          <w:bCs/>
        </w:rPr>
        <w:t xml:space="preserve"> </w:t>
      </w:r>
      <w:r w:rsidR="00960716" w:rsidRPr="00960716">
        <w:rPr>
          <w:b/>
          <w:bCs/>
        </w:rPr>
        <w:t>POR EXPOSICIÓN OCUPACIONAL A FACTORES DE RIESGO</w:t>
      </w:r>
      <w:r w:rsidR="00960716">
        <w:rPr>
          <w:b/>
          <w:bCs/>
        </w:rPr>
        <w:t xml:space="preserve"> </w:t>
      </w:r>
      <w:r w:rsidR="00960716" w:rsidRPr="00960716">
        <w:rPr>
          <w:b/>
          <w:bCs/>
        </w:rPr>
        <w:t>MUSCULOESQUELÉTICOS REL</w:t>
      </w:r>
      <w:r w:rsidR="00960716">
        <w:rPr>
          <w:b/>
          <w:bCs/>
        </w:rPr>
        <w:t>ACIONADOS CON EL TRABAJO (TMERT</w:t>
      </w:r>
      <w:r w:rsidR="00B65481">
        <w:rPr>
          <w:b/>
          <w:bCs/>
        </w:rPr>
        <w:t>)</w:t>
      </w:r>
      <w:r w:rsidR="00960716">
        <w:rPr>
          <w:b/>
          <w:bCs/>
        </w:rPr>
        <w:t>.</w:t>
      </w:r>
      <w:r>
        <w:rPr>
          <w:b/>
          <w:bCs/>
        </w:rPr>
        <w:t xml:space="preserve"> MODIFICA </w:t>
      </w:r>
      <w:r w:rsidR="00960716">
        <w:rPr>
          <w:b/>
          <w:bCs/>
        </w:rPr>
        <w:t>LOS LIBROS III, IV Y IX</w:t>
      </w:r>
      <w:r w:rsidR="00670BFC">
        <w:rPr>
          <w:b/>
          <w:bCs/>
        </w:rPr>
        <w:t xml:space="preserve">, </w:t>
      </w:r>
      <w:r>
        <w:rPr>
          <w:b/>
          <w:bCs/>
        </w:rPr>
        <w:t xml:space="preserve">DEL </w:t>
      </w:r>
      <w:r w:rsidRPr="0092657C">
        <w:rPr>
          <w:b/>
          <w:bCs/>
        </w:rPr>
        <w:t>COMPENDIO DE NORMAS DEL SEGURO SOCIAL DE ACCIDENTES DEL TRABAJO Y ENFERMEDADES PROFESIONALES DE LA LEY N°16.744</w:t>
      </w:r>
    </w:p>
    <w:p w14:paraId="64AFD61E" w14:textId="77777777" w:rsidR="00217C65" w:rsidRPr="0092657C" w:rsidRDefault="00217C65" w:rsidP="00217C65">
      <w:pPr>
        <w:spacing w:before="120" w:after="120"/>
        <w:jc w:val="center"/>
        <w:rPr>
          <w:b/>
          <w:bCs/>
        </w:rPr>
      </w:pPr>
    </w:p>
    <w:p w14:paraId="022E521B" w14:textId="0231C90B" w:rsidR="00B65481" w:rsidRDefault="003A4E79" w:rsidP="001A10D5">
      <w:pPr>
        <w:spacing w:before="120" w:after="120"/>
        <w:jc w:val="both"/>
        <w:rPr>
          <w:rFonts w:cstheme="minorHAnsi"/>
          <w:color w:val="000000" w:themeColor="text1"/>
        </w:rPr>
      </w:pPr>
      <w:r>
        <w:t>E</w:t>
      </w:r>
      <w:r w:rsidRPr="003A4E79">
        <w:t>n virtud de las atribuciones que a esta Superintendencia confieren</w:t>
      </w:r>
      <w:r w:rsidR="00B13C12">
        <w:t xml:space="preserve"> </w:t>
      </w:r>
      <w:r w:rsidRPr="003A4E79">
        <w:t>los artículos 2° letra a) y 38 letra e) de la Ley N°16.395</w:t>
      </w:r>
      <w:r w:rsidR="00B13C12">
        <w:t xml:space="preserve">, y </w:t>
      </w:r>
      <w:r w:rsidR="00B65481">
        <w:t>considerando</w:t>
      </w:r>
      <w:r w:rsidR="00960716">
        <w:t xml:space="preserve"> el nuevo Protocolo de Vigilancia Ocupacional por Exposición a Factores de Riesgo de Trastornos </w:t>
      </w:r>
      <w:proofErr w:type="spellStart"/>
      <w:r w:rsidR="00960716">
        <w:t>Musculoesqueléticos</w:t>
      </w:r>
      <w:proofErr w:type="spellEnd"/>
      <w:r w:rsidR="00960716">
        <w:t xml:space="preserve"> (TMERT), </w:t>
      </w:r>
      <w:r w:rsidR="00B47938">
        <w:t xml:space="preserve">en adelante “el Protocolo”, </w:t>
      </w:r>
      <w:r w:rsidR="00960716">
        <w:t xml:space="preserve">aprobado mediante la Resolución Exenta N°327, de 5 de marzo de 2024, del Ministerio de Salud, </w:t>
      </w:r>
      <w:r w:rsidR="00B13C12">
        <w:t xml:space="preserve">este proyecto de circular </w:t>
      </w:r>
      <w:r w:rsidR="00217C65">
        <w:rPr>
          <w:rFonts w:cstheme="minorHAnsi"/>
          <w:color w:val="000000" w:themeColor="text1"/>
        </w:rPr>
        <w:t>complementa y/o modifica</w:t>
      </w:r>
      <w:r w:rsidR="00F9056C">
        <w:rPr>
          <w:rFonts w:cstheme="minorHAnsi"/>
          <w:color w:val="000000" w:themeColor="text1"/>
        </w:rPr>
        <w:t>,</w:t>
      </w:r>
      <w:r w:rsidR="00B65481">
        <w:rPr>
          <w:rFonts w:cstheme="minorHAnsi"/>
          <w:color w:val="000000" w:themeColor="text1"/>
        </w:rPr>
        <w:t xml:space="preserve"> principalmente</w:t>
      </w:r>
      <w:r w:rsidR="00F9056C">
        <w:rPr>
          <w:rFonts w:cstheme="minorHAnsi"/>
          <w:color w:val="000000" w:themeColor="text1"/>
        </w:rPr>
        <w:t>,</w:t>
      </w:r>
      <w:r w:rsidR="00B65481">
        <w:rPr>
          <w:rFonts w:cstheme="minorHAnsi"/>
          <w:color w:val="000000" w:themeColor="text1"/>
        </w:rPr>
        <w:t xml:space="preserve"> </w:t>
      </w:r>
      <w:r w:rsidR="00217C65">
        <w:rPr>
          <w:rFonts w:cstheme="minorHAnsi"/>
          <w:color w:val="000000" w:themeColor="text1"/>
        </w:rPr>
        <w:t xml:space="preserve">las instrucciones </w:t>
      </w:r>
      <w:r w:rsidR="00A62422">
        <w:rPr>
          <w:rFonts w:cstheme="minorHAnsi"/>
          <w:color w:val="000000" w:themeColor="text1"/>
        </w:rPr>
        <w:t>de</w:t>
      </w:r>
      <w:r w:rsidR="00B65481">
        <w:rPr>
          <w:rFonts w:cstheme="minorHAnsi"/>
          <w:color w:val="000000" w:themeColor="text1"/>
        </w:rPr>
        <w:t xml:space="preserve">l Título II, del Libro IV. Prestaciones Preventivas y del Título I, del Libro IX. </w:t>
      </w:r>
      <w:r w:rsidR="00B65481" w:rsidRPr="00B65481">
        <w:rPr>
          <w:rFonts w:eastAsia="Times New Roman" w:cs="Times New Roman"/>
          <w:bCs/>
          <w:kern w:val="36"/>
          <w:lang w:eastAsia="es-CL"/>
        </w:rPr>
        <w:t>Sistemas de Información. Informes y Reportes</w:t>
      </w:r>
      <w:r w:rsidR="00F9056C">
        <w:rPr>
          <w:rFonts w:eastAsia="Times New Roman" w:cs="Times New Roman"/>
          <w:bCs/>
          <w:kern w:val="36"/>
          <w:lang w:eastAsia="es-CL"/>
        </w:rPr>
        <w:t>,</w:t>
      </w:r>
      <w:r w:rsidR="00B65481" w:rsidRPr="00B557B3">
        <w:rPr>
          <w:rFonts w:eastAsia="Times New Roman" w:cs="Times New Roman"/>
          <w:b/>
          <w:bCs/>
          <w:kern w:val="36"/>
          <w:lang w:eastAsia="es-CL"/>
        </w:rPr>
        <w:t xml:space="preserve"> </w:t>
      </w:r>
      <w:r w:rsidR="00217C65">
        <w:rPr>
          <w:rFonts w:cstheme="minorHAnsi"/>
          <w:color w:val="000000" w:themeColor="text1"/>
        </w:rPr>
        <w:t>del Compendio de Normas del Seguro de la</w:t>
      </w:r>
      <w:r w:rsidR="00B65481">
        <w:rPr>
          <w:rFonts w:cstheme="minorHAnsi"/>
          <w:color w:val="000000" w:themeColor="text1"/>
        </w:rPr>
        <w:t xml:space="preserve"> Ley N°16.744.</w:t>
      </w:r>
    </w:p>
    <w:p w14:paraId="547329E1" w14:textId="57A81C78" w:rsidR="008F1192" w:rsidRPr="008F1192" w:rsidRDefault="00B47938" w:rsidP="00A156CC">
      <w:pPr>
        <w:pStyle w:val="Prrafodelista"/>
        <w:spacing w:before="120" w:after="120"/>
        <w:ind w:left="0"/>
        <w:contextualSpacing w:val="0"/>
        <w:jc w:val="both"/>
        <w:rPr>
          <w:rFonts w:cstheme="minorHAnsi"/>
          <w:color w:val="000000" w:themeColor="text1"/>
        </w:rPr>
      </w:pPr>
      <w:r w:rsidRPr="008F1192">
        <w:rPr>
          <w:rFonts w:cstheme="minorHAnsi"/>
          <w:color w:val="000000" w:themeColor="text1"/>
        </w:rPr>
        <w:t xml:space="preserve">En primer término, </w:t>
      </w:r>
      <w:r w:rsidR="008F1192" w:rsidRPr="008F1192">
        <w:rPr>
          <w:rFonts w:cstheme="minorHAnsi"/>
          <w:color w:val="000000" w:themeColor="text1"/>
        </w:rPr>
        <w:t xml:space="preserve">se imparten instrucciones sobre </w:t>
      </w:r>
      <w:r w:rsidRPr="008F1192">
        <w:rPr>
          <w:rFonts w:cstheme="minorHAnsi"/>
          <w:color w:val="000000" w:themeColor="text1"/>
        </w:rPr>
        <w:t>la asistencia técnica que los organismos administradores deben otorgar a sus entidades empleadoras adheridas o afiliadas para</w:t>
      </w:r>
      <w:r w:rsidRPr="00B47938">
        <w:t xml:space="preserve"> </w:t>
      </w:r>
      <w:r w:rsidRPr="008F1192">
        <w:rPr>
          <w:rFonts w:cstheme="minorHAnsi"/>
          <w:color w:val="000000" w:themeColor="text1"/>
        </w:rPr>
        <w:t>la implementación del Protocolo y, cuando corresponda, de la Guía Técnica de Evaluación y Control de los Riesgos asociados al Manejo o Manipulación Manual de Cargas, en adelante “la Guía Técnica de MMC”</w:t>
      </w:r>
      <w:r w:rsidR="008F1192" w:rsidRPr="008F1192">
        <w:rPr>
          <w:rFonts w:cstheme="minorHAnsi"/>
          <w:color w:val="000000" w:themeColor="text1"/>
        </w:rPr>
        <w:t>,</w:t>
      </w:r>
      <w:r w:rsidR="008F1192">
        <w:rPr>
          <w:rFonts w:cstheme="minorHAnsi"/>
          <w:color w:val="000000" w:themeColor="text1"/>
        </w:rPr>
        <w:t xml:space="preserve"> incluyendo</w:t>
      </w:r>
      <w:r w:rsidR="002B3B36">
        <w:rPr>
          <w:rFonts w:cstheme="minorHAnsi"/>
          <w:color w:val="000000" w:themeColor="text1"/>
        </w:rPr>
        <w:t>, entre otros aspectos</w:t>
      </w:r>
      <w:r w:rsidR="008F1192" w:rsidRPr="008F1192">
        <w:rPr>
          <w:rFonts w:cstheme="minorHAnsi"/>
          <w:color w:val="000000" w:themeColor="text1"/>
        </w:rPr>
        <w:t>:</w:t>
      </w:r>
    </w:p>
    <w:p w14:paraId="01840644" w14:textId="7BCA7020" w:rsidR="00B47938" w:rsidRDefault="008F1192" w:rsidP="001A10D5">
      <w:pPr>
        <w:pStyle w:val="Prrafodelista"/>
        <w:numPr>
          <w:ilvl w:val="0"/>
          <w:numId w:val="10"/>
        </w:numPr>
        <w:spacing w:before="120" w:after="120"/>
        <w:contextualSpacing w:val="0"/>
        <w:jc w:val="both"/>
        <w:rPr>
          <w:rFonts w:cstheme="minorHAnsi"/>
          <w:color w:val="000000" w:themeColor="text1"/>
        </w:rPr>
      </w:pPr>
      <w:r w:rsidRPr="008F1192">
        <w:rPr>
          <w:rFonts w:cstheme="minorHAnsi"/>
          <w:color w:val="000000" w:themeColor="text1"/>
        </w:rPr>
        <w:t xml:space="preserve">El contenido mínimo de la difusión que deben hacer de ambos instrumentos, con especial de las etapas o acciones que son responsabilidad de las </w:t>
      </w:r>
      <w:r>
        <w:rPr>
          <w:rFonts w:cstheme="minorHAnsi"/>
          <w:color w:val="000000" w:themeColor="text1"/>
        </w:rPr>
        <w:t>entidades empleadoras.</w:t>
      </w:r>
    </w:p>
    <w:p w14:paraId="4B81B475" w14:textId="1594FE94" w:rsidR="00B65481" w:rsidRPr="008F1192" w:rsidRDefault="008F1192" w:rsidP="001A10D5">
      <w:pPr>
        <w:pStyle w:val="Prrafodelista"/>
        <w:numPr>
          <w:ilvl w:val="0"/>
          <w:numId w:val="10"/>
        </w:numPr>
        <w:spacing w:before="120" w:after="120"/>
        <w:contextualSpacing w:val="0"/>
        <w:jc w:val="both"/>
        <w:rPr>
          <w:lang w:val="es-ES"/>
        </w:rPr>
      </w:pPr>
      <w:r w:rsidRPr="008F1192">
        <w:rPr>
          <w:rFonts w:cstheme="minorHAnsi"/>
          <w:color w:val="000000" w:themeColor="text1"/>
        </w:rPr>
        <w:t>La capacitación que deberán otorgarles para la caracterización de los puestos de trabajo</w:t>
      </w:r>
      <w:r>
        <w:rPr>
          <w:rFonts w:cstheme="minorHAnsi"/>
          <w:color w:val="000000" w:themeColor="text1"/>
        </w:rPr>
        <w:t xml:space="preserve"> y de las tareas asociadas, considerando la relevancia que </w:t>
      </w:r>
      <w:r w:rsidR="00D6228C">
        <w:rPr>
          <w:rFonts w:cstheme="minorHAnsi"/>
          <w:color w:val="000000" w:themeColor="text1"/>
        </w:rPr>
        <w:t xml:space="preserve">ello </w:t>
      </w:r>
      <w:r>
        <w:rPr>
          <w:rFonts w:cstheme="minorHAnsi"/>
          <w:color w:val="000000" w:themeColor="text1"/>
        </w:rPr>
        <w:t>reviste para la posterior identificación de los factores de riesgo de TMERT.</w:t>
      </w:r>
    </w:p>
    <w:p w14:paraId="2756C61A" w14:textId="16945084" w:rsidR="008F1192" w:rsidRPr="002B3B36" w:rsidRDefault="008F1192" w:rsidP="001A10D5">
      <w:pPr>
        <w:pStyle w:val="Prrafodelista"/>
        <w:numPr>
          <w:ilvl w:val="0"/>
          <w:numId w:val="10"/>
        </w:numPr>
        <w:spacing w:before="120" w:after="120"/>
        <w:contextualSpacing w:val="0"/>
        <w:jc w:val="both"/>
        <w:rPr>
          <w:lang w:val="es-ES"/>
        </w:rPr>
      </w:pPr>
      <w:r>
        <w:rPr>
          <w:rFonts w:cstheme="minorHAnsi"/>
          <w:color w:val="000000" w:themeColor="text1"/>
        </w:rPr>
        <w:t>El materia</w:t>
      </w:r>
      <w:r w:rsidR="00C82271">
        <w:rPr>
          <w:rFonts w:cstheme="minorHAnsi"/>
          <w:color w:val="000000" w:themeColor="text1"/>
        </w:rPr>
        <w:t xml:space="preserve">l informativo que deben poner a disposición de las entidades empleadoras para </w:t>
      </w:r>
      <w:r>
        <w:rPr>
          <w:rFonts w:cstheme="minorHAnsi"/>
          <w:color w:val="000000" w:themeColor="text1"/>
        </w:rPr>
        <w:t>el diseño de la parte práctica</w:t>
      </w:r>
      <w:r w:rsidR="00C82271">
        <w:rPr>
          <w:rFonts w:cstheme="minorHAnsi"/>
          <w:color w:val="000000" w:themeColor="text1"/>
        </w:rPr>
        <w:t xml:space="preserve"> de la capacitación que por requerimiento del Protocolo éstas deben brindar a sus </w:t>
      </w:r>
      <w:r w:rsidR="00C82271" w:rsidRPr="00C82271">
        <w:rPr>
          <w:rFonts w:cstheme="minorHAnsi"/>
          <w:color w:val="000000" w:themeColor="text1"/>
        </w:rPr>
        <w:t>trabajadores, supervisores, Comités Paritarios de Higiene y Seguridad y Sindicatos</w:t>
      </w:r>
      <w:r w:rsidR="002B3B36">
        <w:rPr>
          <w:rFonts w:cstheme="minorHAnsi"/>
          <w:color w:val="000000" w:themeColor="text1"/>
        </w:rPr>
        <w:t>.</w:t>
      </w:r>
    </w:p>
    <w:p w14:paraId="47A2C8E0" w14:textId="5472E36C" w:rsidR="001A10D5" w:rsidRDefault="0004647E" w:rsidP="00A156CC">
      <w:pPr>
        <w:pStyle w:val="Prrafodelista"/>
        <w:spacing w:before="120" w:after="120"/>
        <w:ind w:left="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En segundo orden, se imparten instrucciones sobre las responsabilidades de los organismos administradores y empresas con administración</w:t>
      </w:r>
      <w:r w:rsidR="001A10D5">
        <w:rPr>
          <w:rFonts w:cstheme="minorHAnsi"/>
          <w:color w:val="000000" w:themeColor="text1"/>
        </w:rPr>
        <w:t xml:space="preserve"> delegada</w:t>
      </w:r>
      <w:r>
        <w:rPr>
          <w:rFonts w:cstheme="minorHAnsi"/>
          <w:color w:val="000000" w:themeColor="text1"/>
        </w:rPr>
        <w:t xml:space="preserve"> en el desarrollo y reporte de la vigilancia ambiental y de la salud de los trabajadores expuestos a factores a riesgos de TMERT</w:t>
      </w:r>
      <w:r w:rsidR="001A10D5">
        <w:rPr>
          <w:rFonts w:cstheme="minorHAnsi"/>
          <w:color w:val="000000" w:themeColor="text1"/>
        </w:rPr>
        <w:t>.</w:t>
      </w:r>
      <w:r w:rsidR="0080146C">
        <w:rPr>
          <w:rFonts w:cstheme="minorHAnsi"/>
          <w:color w:val="000000" w:themeColor="text1"/>
        </w:rPr>
        <w:t xml:space="preserve"> </w:t>
      </w:r>
    </w:p>
    <w:p w14:paraId="05E3BC68" w14:textId="006C8E60" w:rsidR="0080146C" w:rsidRDefault="001A10D5" w:rsidP="00A156CC">
      <w:pPr>
        <w:pStyle w:val="Prrafodelista"/>
        <w:spacing w:before="120" w:after="120"/>
        <w:ind w:left="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En el ámbito de la vigilancia ambiental, </w:t>
      </w:r>
      <w:r w:rsidR="00F9056C">
        <w:rPr>
          <w:rFonts w:cstheme="minorHAnsi"/>
          <w:color w:val="000000" w:themeColor="text1"/>
        </w:rPr>
        <w:t xml:space="preserve">se aborda </w:t>
      </w:r>
      <w:r>
        <w:rPr>
          <w:rFonts w:cstheme="minorHAnsi"/>
          <w:color w:val="000000" w:themeColor="text1"/>
        </w:rPr>
        <w:t xml:space="preserve">la identificación avanzada </w:t>
      </w:r>
      <w:r w:rsidR="00D6228C">
        <w:rPr>
          <w:rFonts w:cstheme="minorHAnsi"/>
          <w:color w:val="000000" w:themeColor="text1"/>
        </w:rPr>
        <w:t>que p</w:t>
      </w:r>
      <w:r>
        <w:rPr>
          <w:rFonts w:cstheme="minorHAnsi"/>
          <w:color w:val="000000" w:themeColor="text1"/>
        </w:rPr>
        <w:t>or mandato del P</w:t>
      </w:r>
      <w:r w:rsidR="00D6228C">
        <w:rPr>
          <w:rFonts w:cstheme="minorHAnsi"/>
          <w:color w:val="000000" w:themeColor="text1"/>
        </w:rPr>
        <w:t xml:space="preserve">rotocolo deben realizar </w:t>
      </w:r>
      <w:r>
        <w:rPr>
          <w:rFonts w:cstheme="minorHAnsi"/>
          <w:color w:val="000000" w:themeColor="text1"/>
        </w:rPr>
        <w:t>en las micro y pequeñas empresas</w:t>
      </w:r>
      <w:r w:rsidR="00D6228C">
        <w:rPr>
          <w:rFonts w:cstheme="minorHAnsi"/>
          <w:color w:val="000000" w:themeColor="text1"/>
        </w:rPr>
        <w:t xml:space="preserve">; la evaluación inicial y avanzada de los factores de riesgos identificados, cualquiera sea el tamaño de la empresa evaluada </w:t>
      </w:r>
      <w:r w:rsidR="00F9056C">
        <w:rPr>
          <w:rFonts w:cstheme="minorHAnsi"/>
          <w:color w:val="000000" w:themeColor="text1"/>
        </w:rPr>
        <w:t xml:space="preserve">y </w:t>
      </w:r>
      <w:r w:rsidR="00D6228C">
        <w:rPr>
          <w:rFonts w:cstheme="minorHAnsi"/>
          <w:color w:val="000000" w:themeColor="text1"/>
        </w:rPr>
        <w:t xml:space="preserve"> las </w:t>
      </w:r>
      <w:r>
        <w:rPr>
          <w:rFonts w:cstheme="minorHAnsi"/>
          <w:color w:val="000000" w:themeColor="text1"/>
        </w:rPr>
        <w:t xml:space="preserve">acciones </w:t>
      </w:r>
      <w:r w:rsidR="00D6228C">
        <w:rPr>
          <w:rFonts w:cstheme="minorHAnsi"/>
          <w:color w:val="000000" w:themeColor="text1"/>
        </w:rPr>
        <w:t>que, conforme a los resultados de ambas etapas, les compete desarrollar para la intervención de los puestos de trabajo o tareas en condición o niveles de riesgo no aceptable</w:t>
      </w:r>
      <w:r w:rsidR="0080146C">
        <w:rPr>
          <w:rFonts w:cstheme="minorHAnsi"/>
          <w:color w:val="000000" w:themeColor="text1"/>
        </w:rPr>
        <w:t>s</w:t>
      </w:r>
      <w:r w:rsidR="00D6228C">
        <w:rPr>
          <w:rFonts w:cstheme="minorHAnsi"/>
          <w:color w:val="000000" w:themeColor="text1"/>
        </w:rPr>
        <w:t xml:space="preserve"> y la oportuna derivación de las personas trabajadoras expuestas a vigilancia de la salud. </w:t>
      </w:r>
      <w:r w:rsidR="00ED765B">
        <w:rPr>
          <w:rFonts w:cstheme="minorHAnsi"/>
          <w:color w:val="000000" w:themeColor="text1"/>
        </w:rPr>
        <w:t xml:space="preserve"> </w:t>
      </w:r>
    </w:p>
    <w:p w14:paraId="7D7BDB0C" w14:textId="787D50AC" w:rsidR="001C41CE" w:rsidRDefault="0080146C" w:rsidP="00A156CC">
      <w:pPr>
        <w:pStyle w:val="Prrafodelista"/>
        <w:spacing w:before="120" w:after="120"/>
        <w:ind w:left="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</w:t>
      </w:r>
      <w:r w:rsidR="00ED765B">
        <w:rPr>
          <w:rFonts w:cstheme="minorHAnsi"/>
          <w:color w:val="000000" w:themeColor="text1"/>
        </w:rPr>
        <w:t>n lo que respecta a las evaluaciones de la</w:t>
      </w:r>
      <w:r>
        <w:rPr>
          <w:rFonts w:cstheme="minorHAnsi"/>
          <w:color w:val="000000" w:themeColor="text1"/>
        </w:rPr>
        <w:t xml:space="preserve"> vigilancia</w:t>
      </w:r>
      <w:r w:rsidR="00ED765B">
        <w:rPr>
          <w:rFonts w:cstheme="minorHAnsi"/>
          <w:color w:val="000000" w:themeColor="text1"/>
        </w:rPr>
        <w:t xml:space="preserve"> de la salud, se posibilita que puedan ser eventualmente </w:t>
      </w:r>
      <w:r w:rsidR="003513EE">
        <w:rPr>
          <w:rFonts w:cstheme="minorHAnsi"/>
          <w:color w:val="000000" w:themeColor="text1"/>
        </w:rPr>
        <w:t xml:space="preserve">realizadas </w:t>
      </w:r>
      <w:r w:rsidR="00ED765B">
        <w:rPr>
          <w:rFonts w:cstheme="minorHAnsi"/>
          <w:color w:val="000000" w:themeColor="text1"/>
        </w:rPr>
        <w:t>en</w:t>
      </w:r>
      <w:r w:rsidR="003513EE">
        <w:rPr>
          <w:rFonts w:cstheme="minorHAnsi"/>
          <w:color w:val="000000" w:themeColor="text1"/>
        </w:rPr>
        <w:t xml:space="preserve"> los</w:t>
      </w:r>
      <w:r w:rsidR="00ED765B">
        <w:rPr>
          <w:rFonts w:cstheme="minorHAnsi"/>
          <w:color w:val="000000" w:themeColor="text1"/>
        </w:rPr>
        <w:t xml:space="preserve"> centros de trabajo y </w:t>
      </w:r>
      <w:r w:rsidR="00A156CC">
        <w:rPr>
          <w:rFonts w:cstheme="minorHAnsi"/>
          <w:color w:val="000000" w:themeColor="text1"/>
        </w:rPr>
        <w:t xml:space="preserve">se </w:t>
      </w:r>
      <w:r w:rsidR="00ED765B">
        <w:rPr>
          <w:rFonts w:cstheme="minorHAnsi"/>
          <w:color w:val="000000" w:themeColor="text1"/>
        </w:rPr>
        <w:t xml:space="preserve">regulan las citaciones que deben cursar a los </w:t>
      </w:r>
      <w:r w:rsidR="00062101">
        <w:rPr>
          <w:rFonts w:cstheme="minorHAnsi"/>
          <w:color w:val="000000" w:themeColor="text1"/>
        </w:rPr>
        <w:t xml:space="preserve">trabajadores para velar por la continuidad de su vigilancia. </w:t>
      </w:r>
      <w:r w:rsidR="001C41CE">
        <w:rPr>
          <w:rFonts w:cstheme="minorHAnsi"/>
          <w:color w:val="000000" w:themeColor="text1"/>
        </w:rPr>
        <w:t xml:space="preserve">También en este </w:t>
      </w:r>
      <w:r w:rsidR="00A156CC">
        <w:rPr>
          <w:rFonts w:cstheme="minorHAnsi"/>
          <w:color w:val="000000" w:themeColor="text1"/>
        </w:rPr>
        <w:t>ámbito</w:t>
      </w:r>
      <w:r w:rsidR="001C41CE">
        <w:rPr>
          <w:rFonts w:cstheme="minorHAnsi"/>
          <w:color w:val="000000" w:themeColor="text1"/>
        </w:rPr>
        <w:t xml:space="preserve"> se imparten </w:t>
      </w:r>
      <w:r w:rsidR="001C41CE">
        <w:rPr>
          <w:rFonts w:cstheme="minorHAnsi"/>
          <w:color w:val="000000" w:themeColor="text1"/>
        </w:rPr>
        <w:lastRenderedPageBreak/>
        <w:t xml:space="preserve">instrucciones para el traspaso de información cuando </w:t>
      </w:r>
      <w:r w:rsidR="00A156CC">
        <w:rPr>
          <w:rFonts w:cstheme="minorHAnsi"/>
          <w:color w:val="000000" w:themeColor="text1"/>
        </w:rPr>
        <w:t>una entidad empleadora se cambia</w:t>
      </w:r>
      <w:r w:rsidR="001C41CE">
        <w:rPr>
          <w:rFonts w:cstheme="minorHAnsi"/>
          <w:color w:val="000000" w:themeColor="text1"/>
        </w:rPr>
        <w:t xml:space="preserve"> de organismo administrador. </w:t>
      </w:r>
    </w:p>
    <w:p w14:paraId="33B6D12A" w14:textId="648B2A07" w:rsidR="001C41CE" w:rsidRDefault="001C41CE" w:rsidP="00A156CC">
      <w:pPr>
        <w:pStyle w:val="Prrafodelista"/>
        <w:spacing w:before="120" w:after="120"/>
        <w:ind w:left="0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Finalmente, se abordan los requisitos de formación de los profesionales responsables de las actividades de vigilancia ambiental y de la salud y</w:t>
      </w:r>
      <w:r w:rsidR="00A156CC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="00A156CC">
        <w:rPr>
          <w:rFonts w:cstheme="minorHAnsi"/>
          <w:color w:val="000000" w:themeColor="text1"/>
        </w:rPr>
        <w:t xml:space="preserve">en el Libro IX, las </w:t>
      </w:r>
      <w:r>
        <w:rPr>
          <w:rFonts w:cstheme="minorHAnsi"/>
          <w:color w:val="000000" w:themeColor="text1"/>
        </w:rPr>
        <w:t xml:space="preserve">particularidades </w:t>
      </w:r>
      <w:r w:rsidR="00A156CC">
        <w:rPr>
          <w:rFonts w:cstheme="minorHAnsi"/>
          <w:color w:val="000000" w:themeColor="text1"/>
        </w:rPr>
        <w:t xml:space="preserve">que se deben considerar para </w:t>
      </w:r>
      <w:r>
        <w:rPr>
          <w:rFonts w:cstheme="minorHAnsi"/>
          <w:color w:val="000000" w:themeColor="text1"/>
        </w:rPr>
        <w:t xml:space="preserve">el reporte esas actividades a través del Sistema </w:t>
      </w:r>
      <w:r w:rsidR="00A156CC">
        <w:rPr>
          <w:rFonts w:cstheme="minorHAnsi"/>
          <w:color w:val="000000" w:themeColor="text1"/>
        </w:rPr>
        <w:t>GRIS</w:t>
      </w:r>
      <w:r w:rsidR="00DC4A28">
        <w:rPr>
          <w:rFonts w:cstheme="minorHAnsi"/>
          <w:color w:val="000000" w:themeColor="text1"/>
        </w:rPr>
        <w:t xml:space="preserve"> y EVAST</w:t>
      </w:r>
      <w:r w:rsidR="00A156CC">
        <w:rPr>
          <w:rFonts w:cstheme="minorHAnsi"/>
          <w:color w:val="000000" w:themeColor="text1"/>
        </w:rPr>
        <w:t xml:space="preserve"> de SISESAT.</w:t>
      </w:r>
    </w:p>
    <w:p w14:paraId="0A56C139" w14:textId="69E9DAF4" w:rsidR="00217C65" w:rsidRPr="004B644C" w:rsidRDefault="00217C65" w:rsidP="00217C65">
      <w:pPr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13BD4B35" w14:textId="22B2A750" w:rsidR="00DC4A28" w:rsidRPr="004B26F5" w:rsidRDefault="00F455ED" w:rsidP="00DC4A28">
            <w:pPr>
              <w:jc w:val="center"/>
              <w:rPr>
                <w:rFonts w:eastAsiaTheme="minorEastAsia"/>
                <w:b/>
                <w:sz w:val="28"/>
                <w:szCs w:val="28"/>
                <w:lang w:eastAsia="es-CL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>OBSERVACIONES AL PROYECTO DE CIRCULAR</w:t>
            </w:r>
            <w:r w:rsidR="00DC4A28">
              <w:rPr>
                <w:b/>
                <w:bCs/>
                <w:sz w:val="28"/>
                <w:szCs w:val="28"/>
              </w:rPr>
              <w:t xml:space="preserve"> QUE</w:t>
            </w:r>
            <w:r w:rsidRPr="001854AB">
              <w:rPr>
                <w:b/>
                <w:bCs/>
                <w:sz w:val="28"/>
                <w:szCs w:val="28"/>
              </w:rPr>
              <w:t xml:space="preserve"> </w:t>
            </w:r>
            <w:r w:rsidR="00DC4A28" w:rsidRPr="004B26F5">
              <w:rPr>
                <w:rFonts w:eastAsiaTheme="minorEastAsia"/>
                <w:b/>
                <w:sz w:val="28"/>
                <w:szCs w:val="28"/>
                <w:lang w:eastAsia="es-CL"/>
              </w:rPr>
              <w:t>IMPARTE INSTRUCCIONES SOBRE VIGILANCIA AMBIENTAL Y DE LA SALUD POR EXPOSICIÓN OCUPACIONAL A FACTORES DE RIESGO MUSCULOESQUELÉTICOS RELACIONADOS CON EL TRABAJO (TMERT)</w:t>
            </w:r>
          </w:p>
          <w:p w14:paraId="7262243B" w14:textId="0FB7A839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</w:t>
            </w:r>
            <w:r w:rsidRPr="00BD23B6">
              <w:rPr>
                <w:color w:val="808080" w:themeColor="background1" w:themeShade="80"/>
              </w:rPr>
              <w:lastRenderedPageBreak/>
              <w:t>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026E7" w14:textId="77777777" w:rsidR="00110E21" w:rsidRDefault="00110E21" w:rsidP="00807ED0">
      <w:pPr>
        <w:spacing w:after="0" w:line="240" w:lineRule="auto"/>
      </w:pPr>
      <w:r>
        <w:separator/>
      </w:r>
    </w:p>
  </w:endnote>
  <w:endnote w:type="continuationSeparator" w:id="0">
    <w:p w14:paraId="6FF7B907" w14:textId="77777777" w:rsidR="00110E21" w:rsidRDefault="00110E21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755867"/>
      <w:docPartObj>
        <w:docPartGallery w:val="Page Numbers (Bottom of Page)"/>
        <w:docPartUnique/>
      </w:docPartObj>
    </w:sdtPr>
    <w:sdtEndPr/>
    <w:sdtContent>
      <w:p w14:paraId="1B2F0C2A" w14:textId="26924086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4D1" w:rsidRPr="001B44D1">
          <w:rPr>
            <w:noProof/>
            <w:lang w:val="es-ES"/>
          </w:rPr>
          <w:t>4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75708" w14:textId="77777777" w:rsidR="00110E21" w:rsidRDefault="00110E21" w:rsidP="00807ED0">
      <w:pPr>
        <w:spacing w:after="0" w:line="240" w:lineRule="auto"/>
      </w:pPr>
      <w:r>
        <w:separator/>
      </w:r>
    </w:p>
  </w:footnote>
  <w:footnote w:type="continuationSeparator" w:id="0">
    <w:p w14:paraId="34FC540B" w14:textId="77777777" w:rsidR="00110E21" w:rsidRDefault="00110E21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06BBF"/>
    <w:multiLevelType w:val="hybridMultilevel"/>
    <w:tmpl w:val="78EA2E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B5209"/>
    <w:multiLevelType w:val="hybridMultilevel"/>
    <w:tmpl w:val="F58232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9C"/>
    <w:rsid w:val="000109DF"/>
    <w:rsid w:val="00037E2D"/>
    <w:rsid w:val="0004647E"/>
    <w:rsid w:val="00056EB5"/>
    <w:rsid w:val="00062101"/>
    <w:rsid w:val="00071341"/>
    <w:rsid w:val="00081434"/>
    <w:rsid w:val="00084638"/>
    <w:rsid w:val="00085F6E"/>
    <w:rsid w:val="00107E1D"/>
    <w:rsid w:val="00110E21"/>
    <w:rsid w:val="00113D3F"/>
    <w:rsid w:val="00124062"/>
    <w:rsid w:val="00160560"/>
    <w:rsid w:val="00183CC0"/>
    <w:rsid w:val="001910DD"/>
    <w:rsid w:val="00197805"/>
    <w:rsid w:val="001A10D5"/>
    <w:rsid w:val="001B44D1"/>
    <w:rsid w:val="001C41CE"/>
    <w:rsid w:val="001C7E50"/>
    <w:rsid w:val="001F03AE"/>
    <w:rsid w:val="00217C65"/>
    <w:rsid w:val="00267CC4"/>
    <w:rsid w:val="00273D5B"/>
    <w:rsid w:val="002A0018"/>
    <w:rsid w:val="002A71C9"/>
    <w:rsid w:val="002B3B36"/>
    <w:rsid w:val="002E1694"/>
    <w:rsid w:val="002F3EE4"/>
    <w:rsid w:val="002F5BEA"/>
    <w:rsid w:val="003108B2"/>
    <w:rsid w:val="003416E4"/>
    <w:rsid w:val="00344277"/>
    <w:rsid w:val="003510DD"/>
    <w:rsid w:val="003513EE"/>
    <w:rsid w:val="00362069"/>
    <w:rsid w:val="00397EB0"/>
    <w:rsid w:val="003A4E79"/>
    <w:rsid w:val="003C5C11"/>
    <w:rsid w:val="003D236F"/>
    <w:rsid w:val="004A175F"/>
    <w:rsid w:val="004B2AE6"/>
    <w:rsid w:val="004B6D96"/>
    <w:rsid w:val="004C514E"/>
    <w:rsid w:val="004D3971"/>
    <w:rsid w:val="004E5A19"/>
    <w:rsid w:val="004F38DF"/>
    <w:rsid w:val="005133CE"/>
    <w:rsid w:val="005262E2"/>
    <w:rsid w:val="006634D8"/>
    <w:rsid w:val="00670BFC"/>
    <w:rsid w:val="006A1900"/>
    <w:rsid w:val="006F330D"/>
    <w:rsid w:val="0075532F"/>
    <w:rsid w:val="0078545B"/>
    <w:rsid w:val="00785946"/>
    <w:rsid w:val="007B0E0C"/>
    <w:rsid w:val="007B2F73"/>
    <w:rsid w:val="007E7BC1"/>
    <w:rsid w:val="008002E8"/>
    <w:rsid w:val="0080146C"/>
    <w:rsid w:val="00807ED0"/>
    <w:rsid w:val="008106D2"/>
    <w:rsid w:val="00846442"/>
    <w:rsid w:val="00877956"/>
    <w:rsid w:val="008A503B"/>
    <w:rsid w:val="008C4414"/>
    <w:rsid w:val="008D1065"/>
    <w:rsid w:val="008D3DB3"/>
    <w:rsid w:val="008F10DB"/>
    <w:rsid w:val="008F1192"/>
    <w:rsid w:val="0092657C"/>
    <w:rsid w:val="00960716"/>
    <w:rsid w:val="00974E94"/>
    <w:rsid w:val="00983360"/>
    <w:rsid w:val="00983BA0"/>
    <w:rsid w:val="00990B99"/>
    <w:rsid w:val="009D0C00"/>
    <w:rsid w:val="009E3F44"/>
    <w:rsid w:val="009E5760"/>
    <w:rsid w:val="00A071EE"/>
    <w:rsid w:val="00A119D1"/>
    <w:rsid w:val="00A156CC"/>
    <w:rsid w:val="00A237EC"/>
    <w:rsid w:val="00A33652"/>
    <w:rsid w:val="00A36E4E"/>
    <w:rsid w:val="00A45B9C"/>
    <w:rsid w:val="00A54962"/>
    <w:rsid w:val="00A62422"/>
    <w:rsid w:val="00A83763"/>
    <w:rsid w:val="00AC2A04"/>
    <w:rsid w:val="00AF04D7"/>
    <w:rsid w:val="00B03110"/>
    <w:rsid w:val="00B13C12"/>
    <w:rsid w:val="00B317D3"/>
    <w:rsid w:val="00B35DB0"/>
    <w:rsid w:val="00B365C9"/>
    <w:rsid w:val="00B47938"/>
    <w:rsid w:val="00B64BF5"/>
    <w:rsid w:val="00B6521C"/>
    <w:rsid w:val="00B65481"/>
    <w:rsid w:val="00B73E83"/>
    <w:rsid w:val="00B84A94"/>
    <w:rsid w:val="00BC2129"/>
    <w:rsid w:val="00BE300C"/>
    <w:rsid w:val="00C238D3"/>
    <w:rsid w:val="00C60C7C"/>
    <w:rsid w:val="00C82271"/>
    <w:rsid w:val="00CC3842"/>
    <w:rsid w:val="00D426DE"/>
    <w:rsid w:val="00D6228C"/>
    <w:rsid w:val="00D74401"/>
    <w:rsid w:val="00D9613F"/>
    <w:rsid w:val="00DB123A"/>
    <w:rsid w:val="00DB1DEF"/>
    <w:rsid w:val="00DC4A28"/>
    <w:rsid w:val="00DD7884"/>
    <w:rsid w:val="00E11150"/>
    <w:rsid w:val="00E358D2"/>
    <w:rsid w:val="00ED765B"/>
    <w:rsid w:val="00F03DBB"/>
    <w:rsid w:val="00F3484E"/>
    <w:rsid w:val="00F353C0"/>
    <w:rsid w:val="00F4243D"/>
    <w:rsid w:val="00F44745"/>
    <w:rsid w:val="00F455ED"/>
    <w:rsid w:val="00F63C41"/>
    <w:rsid w:val="00F77C3A"/>
    <w:rsid w:val="00F85D76"/>
    <w:rsid w:val="00F9056C"/>
    <w:rsid w:val="00FA26DE"/>
    <w:rsid w:val="00FA3D51"/>
    <w:rsid w:val="00FA4566"/>
    <w:rsid w:val="00FA4FAB"/>
    <w:rsid w:val="00FC03AA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223FEA14-9C48-416E-AF66-B85A6A1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Fabián Ramirez</dc:creator>
  <cp:lastModifiedBy>ISESAT</cp:lastModifiedBy>
  <cp:revision>3</cp:revision>
  <dcterms:created xsi:type="dcterms:W3CDTF">2024-11-04T16:20:00Z</dcterms:created>
  <dcterms:modified xsi:type="dcterms:W3CDTF">2024-11-05T16:00:00Z</dcterms:modified>
</cp:coreProperties>
</file>