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2107" w14:textId="234CD09C" w:rsidR="00217C65" w:rsidRDefault="00217C65" w:rsidP="00611F1B">
      <w:pPr>
        <w:spacing w:before="120" w:after="120"/>
        <w:jc w:val="center"/>
        <w:rPr>
          <w:b/>
          <w:bCs/>
        </w:rPr>
      </w:pPr>
      <w:r>
        <w:rPr>
          <w:b/>
          <w:bCs/>
        </w:rPr>
        <w:t xml:space="preserve">PROYECTO DE </w:t>
      </w:r>
      <w:r w:rsidR="00670BFC">
        <w:rPr>
          <w:b/>
          <w:bCs/>
        </w:rPr>
        <w:t xml:space="preserve">CIRCULAR </w:t>
      </w:r>
      <w:r w:rsidR="008C28D5">
        <w:rPr>
          <w:b/>
          <w:bCs/>
        </w:rPr>
        <w:t xml:space="preserve">MISCELANEA </w:t>
      </w:r>
      <w:r>
        <w:rPr>
          <w:b/>
          <w:bCs/>
        </w:rPr>
        <w:t xml:space="preserve">QUE </w:t>
      </w:r>
      <w:r w:rsidR="00B7446B">
        <w:rPr>
          <w:b/>
          <w:bCs/>
        </w:rPr>
        <w:t>MODIFICA</w:t>
      </w:r>
      <w:r w:rsidR="008C28D5">
        <w:rPr>
          <w:b/>
          <w:bCs/>
        </w:rPr>
        <w:t xml:space="preserve"> LOS LIBROS</w:t>
      </w:r>
      <w:r w:rsidR="00B7446B">
        <w:rPr>
          <w:b/>
          <w:bCs/>
        </w:rPr>
        <w:t xml:space="preserve"> </w:t>
      </w:r>
      <w:r w:rsidR="00B36EBE">
        <w:rPr>
          <w:b/>
          <w:bCs/>
        </w:rPr>
        <w:t xml:space="preserve">II, </w:t>
      </w:r>
      <w:r w:rsidR="00BF0297">
        <w:rPr>
          <w:b/>
          <w:bCs/>
        </w:rPr>
        <w:t xml:space="preserve">III, IV, </w:t>
      </w:r>
      <w:r w:rsidR="00B36EBE">
        <w:rPr>
          <w:b/>
          <w:bCs/>
        </w:rPr>
        <w:t xml:space="preserve">V, </w:t>
      </w:r>
      <w:r w:rsidR="00BF0297">
        <w:rPr>
          <w:b/>
          <w:bCs/>
        </w:rPr>
        <w:t xml:space="preserve">VI, </w:t>
      </w:r>
      <w:r w:rsidR="00B36EBE">
        <w:rPr>
          <w:b/>
          <w:bCs/>
        </w:rPr>
        <w:t xml:space="preserve">VII, </w:t>
      </w:r>
      <w:r w:rsidR="00BF0297">
        <w:rPr>
          <w:b/>
          <w:bCs/>
        </w:rPr>
        <w:t xml:space="preserve">VIII </w:t>
      </w:r>
      <w:r w:rsidR="008C28D5">
        <w:rPr>
          <w:b/>
          <w:bCs/>
        </w:rPr>
        <w:t xml:space="preserve">Y </w:t>
      </w:r>
      <w:r w:rsidR="00B7446B">
        <w:rPr>
          <w:b/>
          <w:bCs/>
        </w:rPr>
        <w:t xml:space="preserve">IX </w:t>
      </w:r>
      <w:r>
        <w:rPr>
          <w:b/>
          <w:bCs/>
        </w:rPr>
        <w:t xml:space="preserve">DEL </w:t>
      </w:r>
      <w:r w:rsidRPr="0092657C">
        <w:rPr>
          <w:b/>
          <w:bCs/>
        </w:rPr>
        <w:t>COMPENDIO DE NORMAS DEL SEGURO SOCIAL DE ACCIDENTES DEL TRABAJO Y ENFERMEDADES PROFESIONALES DE LA LEY N°16.744</w:t>
      </w:r>
    </w:p>
    <w:p w14:paraId="64AFD61E" w14:textId="23F9210F" w:rsidR="00217C65" w:rsidRDefault="00217C65" w:rsidP="00611F1B">
      <w:pPr>
        <w:spacing w:before="120" w:after="120"/>
        <w:jc w:val="center"/>
        <w:rPr>
          <w:b/>
          <w:bCs/>
        </w:rPr>
      </w:pPr>
    </w:p>
    <w:p w14:paraId="7AB1E4C6" w14:textId="677E557C" w:rsidR="00611F1B" w:rsidRDefault="003A4E79" w:rsidP="00611F1B">
      <w:pPr>
        <w:spacing w:before="120" w:after="120"/>
        <w:jc w:val="both"/>
      </w:pPr>
      <w:r>
        <w:t>E</w:t>
      </w:r>
      <w:r w:rsidRPr="003A4E79">
        <w:t>n virtud de las atribuciones que a esta Superintendencia confieren</w:t>
      </w:r>
      <w:r w:rsidR="00B13C12">
        <w:t xml:space="preserve"> </w:t>
      </w:r>
      <w:r w:rsidRPr="003A4E79">
        <w:t>los artículos 2° letra a)</w:t>
      </w:r>
      <w:r w:rsidR="00B7446B">
        <w:t xml:space="preserve"> y </w:t>
      </w:r>
      <w:r w:rsidRPr="003A4E79">
        <w:t>38 letra e) de la Ley N°16.395</w:t>
      </w:r>
      <w:r w:rsidR="00B7446B">
        <w:t>, este proyecto de circular</w:t>
      </w:r>
      <w:r w:rsidR="008C28D5">
        <w:t xml:space="preserve"> introduce </w:t>
      </w:r>
      <w:r w:rsidR="00BF0297">
        <w:t xml:space="preserve">diversas </w:t>
      </w:r>
      <w:r w:rsidR="008C28D5">
        <w:t xml:space="preserve">modificaciones </w:t>
      </w:r>
      <w:r w:rsidR="00436865">
        <w:t>a</w:t>
      </w:r>
      <w:r w:rsidR="008C28D5">
        <w:t xml:space="preserve"> los Libros </w:t>
      </w:r>
      <w:r w:rsidR="00B36EBE">
        <w:t xml:space="preserve">II, </w:t>
      </w:r>
      <w:r w:rsidR="008C28D5">
        <w:t xml:space="preserve">III, IV, </w:t>
      </w:r>
      <w:r w:rsidR="00B36EBE">
        <w:t xml:space="preserve">V, </w:t>
      </w:r>
      <w:r w:rsidR="008C28D5">
        <w:t>V</w:t>
      </w:r>
      <w:r w:rsidR="00436865">
        <w:t>I</w:t>
      </w:r>
      <w:r w:rsidR="00BF0297">
        <w:t xml:space="preserve">, </w:t>
      </w:r>
      <w:r w:rsidR="00B36EBE">
        <w:t xml:space="preserve">VII, </w:t>
      </w:r>
      <w:r w:rsidR="00BF0297">
        <w:t>VIII</w:t>
      </w:r>
      <w:r w:rsidR="008C28D5">
        <w:t xml:space="preserve"> y IX </w:t>
      </w:r>
      <w:r w:rsidR="00B7446B">
        <w:t>del C</w:t>
      </w:r>
      <w:r w:rsidR="0021552F">
        <w:t>ompendio</w:t>
      </w:r>
      <w:r w:rsidR="008C28D5">
        <w:t xml:space="preserve"> de Normas del Seguro de la Ley N°16.744</w:t>
      </w:r>
      <w:r w:rsidR="0021552F">
        <w:t xml:space="preserve">, </w:t>
      </w:r>
      <w:r w:rsidR="00436865">
        <w:t xml:space="preserve">referidas </w:t>
      </w:r>
      <w:r w:rsidR="00BF0297">
        <w:t xml:space="preserve">principalmente </w:t>
      </w:r>
      <w:r w:rsidR="00436865">
        <w:t xml:space="preserve">a </w:t>
      </w:r>
      <w:r w:rsidR="008C28D5">
        <w:t>lo</w:t>
      </w:r>
      <w:r w:rsidR="00BF0297">
        <w:t>s siguientes aspectos</w:t>
      </w:r>
      <w:r w:rsidR="00436865">
        <w:t>:</w:t>
      </w:r>
    </w:p>
    <w:p w14:paraId="6A84700B" w14:textId="411B14DB" w:rsidR="009F1527" w:rsidRDefault="0049763D" w:rsidP="009F1527">
      <w:pPr>
        <w:pStyle w:val="Prrafodelista"/>
        <w:numPr>
          <w:ilvl w:val="0"/>
          <w:numId w:val="9"/>
        </w:numPr>
        <w:spacing w:before="120" w:after="120"/>
        <w:ind w:left="284" w:hanging="284"/>
        <w:contextualSpacing w:val="0"/>
        <w:jc w:val="both"/>
      </w:pPr>
      <w:r>
        <w:t xml:space="preserve">Se modifica en el Libro II, la parte relativa </w:t>
      </w:r>
      <w:r w:rsidR="009F1527">
        <w:t xml:space="preserve">al informe que en agosto de los años en que se realiza el proceso de evaluación de siniestralidad efectiva, debe remitir esta Superintendencia al Instituto de Seguridad Laboral, con información estadística de los accidentes del trabajo y enfermedades profesionales de los administradores delegados, precisando que </w:t>
      </w:r>
      <w:r>
        <w:t xml:space="preserve">ésta </w:t>
      </w:r>
      <w:r w:rsidR="009F1527">
        <w:t xml:space="preserve">se extrae del SISESAT y no de la que esas entidades remiten </w:t>
      </w:r>
      <w:r>
        <w:t xml:space="preserve">conforme a </w:t>
      </w:r>
      <w:r w:rsidR="009F1527">
        <w:t>lo instruido en la Letra B, Título IV, del Libro IX.</w:t>
      </w:r>
    </w:p>
    <w:p w14:paraId="6342207B" w14:textId="337A106D" w:rsidR="00B36EBE" w:rsidRDefault="004A3AFB" w:rsidP="009F1527">
      <w:pPr>
        <w:pStyle w:val="Prrafodelista"/>
        <w:numPr>
          <w:ilvl w:val="0"/>
          <w:numId w:val="9"/>
        </w:numPr>
        <w:spacing w:before="120" w:after="120"/>
        <w:ind w:left="284" w:hanging="284"/>
        <w:contextualSpacing w:val="0"/>
        <w:jc w:val="both"/>
      </w:pPr>
      <w:r>
        <w:t xml:space="preserve">En armonía con la jurisprudencia </w:t>
      </w:r>
      <w:r w:rsidR="009F1527">
        <w:t xml:space="preserve">existente </w:t>
      </w:r>
      <w:r>
        <w:t xml:space="preserve">sobre el particular, se </w:t>
      </w:r>
      <w:r w:rsidR="009F1527">
        <w:t>establece</w:t>
      </w:r>
      <w:r>
        <w:t xml:space="preserve"> </w:t>
      </w:r>
      <w:r w:rsidR="009F1527">
        <w:t xml:space="preserve">en los Libros IV y V, </w:t>
      </w:r>
      <w:r>
        <w:t>que deben ser de cargo de los organismos administradores, los gastos de traslado en que deben incurrir las personas trabajadoras cuando deb</w:t>
      </w:r>
      <w:r w:rsidR="009F1527">
        <w:t>e</w:t>
      </w:r>
      <w:r>
        <w:t>n trasladarse desde su lugar de residencia a una ciudad distinta, para acudir a controles médicos, exámenes o terapias o a evaluaciones de vigilancia de la salud.</w:t>
      </w:r>
    </w:p>
    <w:p w14:paraId="042C2547" w14:textId="77777777" w:rsidR="009F1527" w:rsidRDefault="004A3AFB" w:rsidP="009F1527">
      <w:pPr>
        <w:pStyle w:val="Prrafodelista"/>
        <w:numPr>
          <w:ilvl w:val="0"/>
          <w:numId w:val="9"/>
        </w:numPr>
        <w:spacing w:before="120" w:after="120"/>
        <w:ind w:left="284" w:hanging="284"/>
        <w:contextualSpacing w:val="0"/>
        <w:jc w:val="both"/>
      </w:pPr>
      <w:r>
        <w:t xml:space="preserve">De igual modo, </w:t>
      </w:r>
      <w:r w:rsidR="009F1527">
        <w:t xml:space="preserve">respecto de </w:t>
      </w:r>
      <w:r>
        <w:t xml:space="preserve">las evaluaciones de </w:t>
      </w:r>
      <w:r w:rsidR="009F1527">
        <w:t xml:space="preserve">la </w:t>
      </w:r>
      <w:r>
        <w:t xml:space="preserve">vigilancia de la salud, se establece que los organismos administradores, previa </w:t>
      </w:r>
      <w:r w:rsidR="009F1527">
        <w:t>coordinación con el empleador de su día y hora, deben citar directamente a las personas trabajadoras, con la antelación y por los medios que se indican.</w:t>
      </w:r>
    </w:p>
    <w:p w14:paraId="13FEFC0C" w14:textId="04495441" w:rsidR="00B024A2" w:rsidRDefault="009F1527" w:rsidP="007240FD">
      <w:pPr>
        <w:pStyle w:val="Prrafodelista"/>
        <w:numPr>
          <w:ilvl w:val="0"/>
          <w:numId w:val="9"/>
        </w:numPr>
        <w:spacing w:before="120" w:after="120"/>
        <w:ind w:left="284" w:hanging="284"/>
        <w:contextualSpacing w:val="0"/>
        <w:jc w:val="both"/>
      </w:pPr>
      <w:r>
        <w:t xml:space="preserve">También en materia de vigilancia, específicamente, de la vigilancia ambiental </w:t>
      </w:r>
      <w:r w:rsidR="00B024A2">
        <w:t xml:space="preserve">por factores de riesgos </w:t>
      </w:r>
      <w:r>
        <w:t xml:space="preserve">de TMERT, </w:t>
      </w:r>
      <w:r w:rsidR="00B024A2">
        <w:t xml:space="preserve">se </w:t>
      </w:r>
      <w:r w:rsidR="007240FD">
        <w:t xml:space="preserve">establece </w:t>
      </w:r>
      <w:r w:rsidR="00B024A2">
        <w:t xml:space="preserve">que cuando </w:t>
      </w:r>
      <w:r w:rsidR="00B024A2" w:rsidRPr="007240FD">
        <w:t>corresponda realizar la evaluación inicial, deberán evaluarse la totalidad de las tareas que componen el puesto de trabajo.</w:t>
      </w:r>
    </w:p>
    <w:p w14:paraId="0C320474" w14:textId="48520C98" w:rsidR="008B5634" w:rsidRPr="007240FD" w:rsidRDefault="008B5634" w:rsidP="0049763D">
      <w:pPr>
        <w:pStyle w:val="Prrafodelista"/>
        <w:numPr>
          <w:ilvl w:val="0"/>
          <w:numId w:val="9"/>
        </w:numPr>
        <w:spacing w:before="120" w:after="120"/>
        <w:ind w:left="284"/>
        <w:contextualSpacing w:val="0"/>
        <w:jc w:val="both"/>
      </w:pPr>
      <w:r>
        <w:t xml:space="preserve">Se actualiza en </w:t>
      </w:r>
      <w:r w:rsidRPr="008B5634">
        <w:t>Anexo N°1 “Contacto de entidades fiscalizadoras”, de la Letra G. Anexos, del Título I.</w:t>
      </w:r>
      <w:r>
        <w:t>, del Libro IV,</w:t>
      </w:r>
      <w:r w:rsidRPr="008B5634">
        <w:t xml:space="preserve"> </w:t>
      </w:r>
      <w:r w:rsidR="0049763D">
        <w:t xml:space="preserve">su apéndice B, que contiene la nómina de fiscalizadores de la </w:t>
      </w:r>
      <w:r w:rsidRPr="008B5634">
        <w:t xml:space="preserve">Seremi de Salud, </w:t>
      </w:r>
      <w:r w:rsidR="0049763D">
        <w:t xml:space="preserve">a los que se debe informar la ocurrencia de accidentes del trabajo graves y fatales, conforme a lo dispuesto en el artículo 76 de la Ley N°16.744. </w:t>
      </w:r>
    </w:p>
    <w:p w14:paraId="768B0992" w14:textId="75107506" w:rsidR="004A3AFB" w:rsidRDefault="007240FD" w:rsidP="00A039D3">
      <w:pPr>
        <w:pStyle w:val="Prrafodelista"/>
        <w:numPr>
          <w:ilvl w:val="0"/>
          <w:numId w:val="9"/>
        </w:numPr>
        <w:spacing w:before="120" w:after="120"/>
        <w:ind w:left="284" w:hanging="284"/>
        <w:contextualSpacing w:val="0"/>
        <w:jc w:val="both"/>
      </w:pPr>
      <w:r>
        <w:t>Se i</w:t>
      </w:r>
      <w:r w:rsidRPr="007240FD">
        <w:t>ncorpora</w:t>
      </w:r>
      <w:r>
        <w:t xml:space="preserve"> en el Libro VI la instrucción impartida mediante el Oficio</w:t>
      </w:r>
      <w:r w:rsidR="00A039D3">
        <w:t xml:space="preserve"> O-01-S-01234-2025,</w:t>
      </w:r>
      <w:r>
        <w:t xml:space="preserve"> sobre </w:t>
      </w:r>
      <w:r w:rsidR="00386BA8">
        <w:t xml:space="preserve">la </w:t>
      </w:r>
      <w:proofErr w:type="spellStart"/>
      <w:r w:rsidR="00386BA8">
        <w:t>r</w:t>
      </w:r>
      <w:r w:rsidRPr="007240FD">
        <w:t>eajustibilidad</w:t>
      </w:r>
      <w:proofErr w:type="spellEnd"/>
      <w:r w:rsidRPr="007240FD">
        <w:t xml:space="preserve"> de </w:t>
      </w:r>
      <w:r w:rsidR="0049763D">
        <w:t xml:space="preserve">la </w:t>
      </w:r>
      <w:r w:rsidRPr="007240FD">
        <w:t>renta que sirve de base de cálculo de las indemnizaciones y pensiones de invalidez</w:t>
      </w:r>
      <w:r w:rsidR="00A039D3">
        <w:t>.</w:t>
      </w:r>
    </w:p>
    <w:p w14:paraId="00B38F66" w14:textId="071EA386" w:rsidR="00A039D3" w:rsidRDefault="00A039D3" w:rsidP="00D709BC">
      <w:pPr>
        <w:pStyle w:val="Prrafodelista"/>
        <w:numPr>
          <w:ilvl w:val="0"/>
          <w:numId w:val="9"/>
        </w:numPr>
        <w:spacing w:before="120" w:after="120"/>
        <w:ind w:left="284" w:hanging="284"/>
        <w:contextualSpacing w:val="0"/>
        <w:jc w:val="both"/>
      </w:pPr>
      <w:r>
        <w:t xml:space="preserve">En materia de beneficiarios de pensiones de sobrevivencia, se incorpora a </w:t>
      </w:r>
      <w:r w:rsidRPr="00A039D3">
        <w:t>los hijos póstumos cuya filiación matrimonial o no matrimonial, según corresponda, ha sido determinada conforme a la legislación vigente.</w:t>
      </w:r>
    </w:p>
    <w:p w14:paraId="0267266C" w14:textId="77777777" w:rsidR="008257A2" w:rsidRDefault="008257A2" w:rsidP="000A79A3">
      <w:pPr>
        <w:pStyle w:val="Prrafodelista"/>
        <w:numPr>
          <w:ilvl w:val="0"/>
          <w:numId w:val="9"/>
        </w:numPr>
        <w:spacing w:before="120" w:after="120"/>
        <w:ind w:left="284" w:hanging="284"/>
        <w:contextualSpacing w:val="0"/>
        <w:jc w:val="both"/>
      </w:pPr>
      <w:r>
        <w:t>En el Libro VII, se incorpora la instrucción de remitir a la Superintendencia las actas de directorio que digan relación con el traslado de agencias y de aquellas que aprueban los informes técnicos para la instalación de policlínicos, fijándose un plazo de 5 días hábiles para la remisión de estos últimos.</w:t>
      </w:r>
    </w:p>
    <w:p w14:paraId="67A046E9" w14:textId="1DA94921" w:rsidR="00F455ED" w:rsidRDefault="00217C65" w:rsidP="008257A2">
      <w:pPr>
        <w:pStyle w:val="Prrafodelista"/>
        <w:spacing w:before="120" w:after="120"/>
        <w:ind w:left="0"/>
        <w:contextualSpacing w:val="0"/>
        <w:jc w:val="both"/>
      </w:pPr>
      <w:r w:rsidRPr="008257A2">
        <w:rPr>
          <w:lang w:val="es-ES"/>
        </w:rPr>
        <w:t xml:space="preserve">Para efectuar comentarios al presente proyecto de circular, se solicita enviar el archivo que se adjunta a continuación, al correo electrónico </w:t>
      </w:r>
      <w:hyperlink r:id="rId7" w:history="1">
        <w:r w:rsidRPr="008257A2">
          <w:rPr>
            <w:rStyle w:val="Hipervnculo"/>
            <w:lang w:val="es-ES"/>
          </w:rPr>
          <w:t>isesa</w:t>
        </w:r>
        <w:r w:rsidRPr="00411FFE">
          <w:rPr>
            <w:rStyle w:val="Hipervnculo"/>
          </w:rPr>
          <w:t>t</w:t>
        </w:r>
        <w:r w:rsidRPr="008257A2">
          <w:rPr>
            <w:rStyle w:val="Hipervnculo"/>
            <w:lang w:val="es-ES"/>
          </w:rPr>
          <w:t>@suseso.cl</w:t>
        </w:r>
      </w:hyperlink>
      <w:r w:rsidRPr="008257A2">
        <w:rPr>
          <w:lang w:val="es-ES"/>
        </w:rPr>
        <w:t>.</w:t>
      </w:r>
    </w:p>
    <w:p w14:paraId="10A562BB" w14:textId="5FCA1E40" w:rsidR="00F455ED" w:rsidRDefault="00F455ED" w:rsidP="00611F1B">
      <w:pPr>
        <w:spacing w:before="120" w:after="120"/>
        <w:jc w:val="both"/>
        <w:sectPr w:rsidR="00F455ED" w:rsidSect="008257A2">
          <w:headerReference w:type="default" r:id="rId8"/>
          <w:footerReference w:type="default" r:id="rId9"/>
          <w:pgSz w:w="12242" w:h="19442" w:code="19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9F1527">
        <w:trPr>
          <w:jc w:val="center"/>
        </w:trPr>
        <w:tc>
          <w:tcPr>
            <w:tcW w:w="12328" w:type="dxa"/>
            <w:gridSpan w:val="5"/>
          </w:tcPr>
          <w:p w14:paraId="7262243B" w14:textId="07830576" w:rsidR="00F455ED" w:rsidRPr="001854AB" w:rsidRDefault="00F455ED" w:rsidP="00611F1B">
            <w:pPr>
              <w:spacing w:before="120" w:after="120"/>
              <w:jc w:val="center"/>
              <w:rPr>
                <w:b/>
                <w:bCs/>
                <w:sz w:val="28"/>
                <w:szCs w:val="28"/>
              </w:rPr>
            </w:pPr>
            <w:r w:rsidRPr="001854AB">
              <w:rPr>
                <w:b/>
                <w:bCs/>
                <w:sz w:val="28"/>
                <w:szCs w:val="28"/>
              </w:rPr>
              <w:lastRenderedPageBreak/>
              <w:t xml:space="preserve">OBSERVACIONES AL PROYECTO DE CIRCULAR </w:t>
            </w:r>
            <w:r w:rsidR="00D97C20" w:rsidRPr="00D97C20">
              <w:rPr>
                <w:b/>
                <w:bCs/>
                <w:sz w:val="28"/>
                <w:szCs w:val="28"/>
              </w:rPr>
              <w:t>MISCELANEA QUE MODIFICA LOS LIBROS II, III, IV, V, VI, VII, VIII Y IX DEL COMPENDIO DE NORMAS DEL SEGURO SOCIAL DE ACCIDENTES DEL TRABAJO Y ENFERMEDADES PROFESIONALES DE LA LEY N°16.744</w:t>
            </w:r>
            <w:bookmarkStart w:id="0" w:name="_GoBack"/>
            <w:bookmarkEnd w:id="0"/>
          </w:p>
        </w:tc>
      </w:tr>
      <w:tr w:rsidR="00F455ED" w14:paraId="29B45B0C" w14:textId="77777777" w:rsidTr="009F1527">
        <w:trPr>
          <w:jc w:val="center"/>
        </w:trPr>
        <w:tc>
          <w:tcPr>
            <w:tcW w:w="1696" w:type="dxa"/>
            <w:shd w:val="clear" w:color="auto" w:fill="2F5496" w:themeFill="accent1" w:themeFillShade="BF"/>
          </w:tcPr>
          <w:p w14:paraId="50A32451" w14:textId="77777777" w:rsidR="00F455ED" w:rsidRPr="001854AB" w:rsidRDefault="00F455ED" w:rsidP="00611F1B">
            <w:pPr>
              <w:spacing w:before="120" w:after="120"/>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11F1B">
            <w:pPr>
              <w:spacing w:before="120" w:after="120"/>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11F1B">
            <w:pPr>
              <w:spacing w:before="120" w:after="120"/>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11F1B">
            <w:pPr>
              <w:spacing w:before="120" w:after="120"/>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11F1B">
            <w:pPr>
              <w:spacing w:before="120" w:after="120"/>
              <w:rPr>
                <w:color w:val="FFFFFF" w:themeColor="background1"/>
              </w:rPr>
            </w:pPr>
            <w:r w:rsidRPr="001854AB">
              <w:rPr>
                <w:color w:val="FFFFFF" w:themeColor="background1"/>
              </w:rPr>
              <w:t>COMENTARIOS</w:t>
            </w:r>
          </w:p>
          <w:p w14:paraId="0F6ED37F" w14:textId="77777777" w:rsidR="00F455ED" w:rsidRPr="001854AB" w:rsidRDefault="00F455ED" w:rsidP="00611F1B">
            <w:pPr>
              <w:spacing w:before="120" w:after="120"/>
              <w:rPr>
                <w:color w:val="FFFFFF" w:themeColor="background1"/>
              </w:rPr>
            </w:pPr>
            <w:r w:rsidRPr="001854AB">
              <w:rPr>
                <w:color w:val="FFFFFF" w:themeColor="background1"/>
              </w:rPr>
              <w:t>DE LA PERSONA O ENTIDAD</w:t>
            </w:r>
          </w:p>
        </w:tc>
      </w:tr>
      <w:tr w:rsidR="00F455ED" w14:paraId="55043460" w14:textId="77777777" w:rsidTr="009F1527">
        <w:trPr>
          <w:jc w:val="center"/>
        </w:trPr>
        <w:tc>
          <w:tcPr>
            <w:tcW w:w="1696" w:type="dxa"/>
          </w:tcPr>
          <w:p w14:paraId="07159FC6" w14:textId="77777777" w:rsidR="00F455ED" w:rsidRDefault="00F455ED" w:rsidP="00611F1B">
            <w:pPr>
              <w:spacing w:before="120" w:after="120"/>
            </w:pPr>
            <w:r>
              <w:t>Ejemplo:</w:t>
            </w:r>
          </w:p>
          <w:p w14:paraId="639F1C2F" w14:textId="77777777" w:rsidR="00F455ED" w:rsidRDefault="00F455ED" w:rsidP="00611F1B">
            <w:pPr>
              <w:spacing w:before="120" w:after="120"/>
            </w:pPr>
          </w:p>
          <w:p w14:paraId="6A092C2F" w14:textId="77777777" w:rsidR="00F455ED" w:rsidRDefault="00F455ED" w:rsidP="00611F1B">
            <w:pPr>
              <w:spacing w:before="120" w:after="120"/>
            </w:pPr>
            <w:r w:rsidRPr="00046CC8">
              <w:rPr>
                <w:color w:val="808080" w:themeColor="background1" w:themeShade="80"/>
              </w:rPr>
              <w:t>Mutualidad de Empleadores</w:t>
            </w:r>
          </w:p>
        </w:tc>
        <w:tc>
          <w:tcPr>
            <w:tcW w:w="1985" w:type="dxa"/>
          </w:tcPr>
          <w:p w14:paraId="7CF1039A" w14:textId="77777777" w:rsidR="00F455ED" w:rsidRPr="00E80D80" w:rsidRDefault="00F455ED" w:rsidP="00611F1B">
            <w:pPr>
              <w:spacing w:before="120" w:after="120"/>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11F1B">
            <w:pPr>
              <w:spacing w:before="120" w:after="120"/>
              <w:jc w:val="both"/>
              <w:rPr>
                <w:color w:val="808080" w:themeColor="background1" w:themeShade="80"/>
              </w:rPr>
            </w:pPr>
          </w:p>
          <w:p w14:paraId="16F16A0E" w14:textId="77777777" w:rsidR="00F455ED" w:rsidRDefault="00F455ED" w:rsidP="00611F1B">
            <w:pPr>
              <w:spacing w:before="120" w:after="120"/>
            </w:pPr>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11F1B">
            <w:pPr>
              <w:spacing w:before="120" w:after="120"/>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11F1B">
            <w:pPr>
              <w:spacing w:before="120" w:after="120"/>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11F1B">
            <w:pPr>
              <w:spacing w:before="120" w:after="120"/>
            </w:pPr>
          </w:p>
        </w:tc>
        <w:tc>
          <w:tcPr>
            <w:tcW w:w="2835" w:type="dxa"/>
          </w:tcPr>
          <w:p w14:paraId="08D17E22" w14:textId="77777777" w:rsidR="00F455ED" w:rsidRPr="00BD23B6" w:rsidRDefault="00F455ED" w:rsidP="00611F1B">
            <w:pPr>
              <w:spacing w:before="120" w:after="120"/>
              <w:jc w:val="both"/>
              <w:rPr>
                <w:color w:val="808080" w:themeColor="background1" w:themeShade="80"/>
              </w:rPr>
            </w:pPr>
            <w:r w:rsidRPr="00BD23B6">
              <w:rPr>
                <w:color w:val="808080" w:themeColor="background1" w:themeShade="80"/>
              </w:rPr>
              <w:t>Ejemplo:</w:t>
            </w:r>
          </w:p>
          <w:p w14:paraId="67E098A5" w14:textId="77777777" w:rsidR="00F455ED" w:rsidRDefault="00F455ED" w:rsidP="00611F1B">
            <w:pPr>
              <w:spacing w:before="120" w:after="120"/>
            </w:pPr>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w:t>
            </w:r>
            <w:r w:rsidRPr="00BD23B6">
              <w:rPr>
                <w:color w:val="808080" w:themeColor="background1" w:themeShade="80"/>
              </w:rPr>
              <w:lastRenderedPageBreak/>
              <w:t>Departamentos de 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11F1B">
            <w:pPr>
              <w:spacing w:before="120" w:after="120"/>
            </w:pPr>
          </w:p>
        </w:tc>
      </w:tr>
      <w:tr w:rsidR="00F455ED" w14:paraId="04D00ADE" w14:textId="77777777" w:rsidTr="009F1527">
        <w:trPr>
          <w:jc w:val="center"/>
        </w:trPr>
        <w:tc>
          <w:tcPr>
            <w:tcW w:w="1696" w:type="dxa"/>
          </w:tcPr>
          <w:p w14:paraId="1D5A3732" w14:textId="77777777" w:rsidR="00F455ED" w:rsidRDefault="00F455ED" w:rsidP="00611F1B">
            <w:pPr>
              <w:spacing w:before="120" w:after="120"/>
            </w:pPr>
          </w:p>
        </w:tc>
        <w:tc>
          <w:tcPr>
            <w:tcW w:w="1985" w:type="dxa"/>
          </w:tcPr>
          <w:p w14:paraId="2904375B" w14:textId="77777777" w:rsidR="00F455ED" w:rsidRDefault="00F455ED" w:rsidP="00611F1B">
            <w:pPr>
              <w:spacing w:before="120" w:after="120"/>
            </w:pPr>
          </w:p>
        </w:tc>
        <w:tc>
          <w:tcPr>
            <w:tcW w:w="1984" w:type="dxa"/>
          </w:tcPr>
          <w:p w14:paraId="21CC6EC2" w14:textId="77777777" w:rsidR="00F455ED" w:rsidRDefault="00F455ED" w:rsidP="00611F1B">
            <w:pPr>
              <w:spacing w:before="120" w:after="120"/>
            </w:pPr>
          </w:p>
        </w:tc>
        <w:tc>
          <w:tcPr>
            <w:tcW w:w="2835" w:type="dxa"/>
          </w:tcPr>
          <w:p w14:paraId="3AC1D401" w14:textId="77777777" w:rsidR="00F455ED" w:rsidRDefault="00F455ED" w:rsidP="00611F1B">
            <w:pPr>
              <w:spacing w:before="120" w:after="120"/>
            </w:pPr>
          </w:p>
        </w:tc>
        <w:tc>
          <w:tcPr>
            <w:tcW w:w="3828" w:type="dxa"/>
          </w:tcPr>
          <w:p w14:paraId="38EF07CD" w14:textId="77777777" w:rsidR="00F455ED" w:rsidRDefault="00F455ED" w:rsidP="00611F1B">
            <w:pPr>
              <w:spacing w:before="120" w:after="120"/>
            </w:pPr>
          </w:p>
          <w:p w14:paraId="450B0A5B" w14:textId="77777777" w:rsidR="00F455ED" w:rsidRDefault="00F455ED" w:rsidP="00611F1B">
            <w:pPr>
              <w:spacing w:before="120" w:after="120"/>
            </w:pPr>
          </w:p>
          <w:p w14:paraId="53991874" w14:textId="77777777" w:rsidR="00F455ED" w:rsidRDefault="00F455ED" w:rsidP="00611F1B">
            <w:pPr>
              <w:spacing w:before="120" w:after="120"/>
            </w:pPr>
          </w:p>
          <w:p w14:paraId="334BFA5A" w14:textId="77777777" w:rsidR="00F455ED" w:rsidRDefault="00F455ED" w:rsidP="00611F1B">
            <w:pPr>
              <w:spacing w:before="120" w:after="120"/>
            </w:pPr>
          </w:p>
        </w:tc>
      </w:tr>
      <w:tr w:rsidR="00F455ED" w14:paraId="4D762B4F" w14:textId="77777777" w:rsidTr="009F1527">
        <w:trPr>
          <w:jc w:val="center"/>
        </w:trPr>
        <w:tc>
          <w:tcPr>
            <w:tcW w:w="1696" w:type="dxa"/>
          </w:tcPr>
          <w:p w14:paraId="3C3D94A8" w14:textId="77777777" w:rsidR="00F455ED" w:rsidRDefault="00F455ED" w:rsidP="00611F1B">
            <w:pPr>
              <w:spacing w:before="120" w:after="120"/>
            </w:pPr>
          </w:p>
        </w:tc>
        <w:tc>
          <w:tcPr>
            <w:tcW w:w="1985" w:type="dxa"/>
          </w:tcPr>
          <w:p w14:paraId="217CB8BD" w14:textId="77777777" w:rsidR="00F455ED" w:rsidRDefault="00F455ED" w:rsidP="00611F1B">
            <w:pPr>
              <w:spacing w:before="120" w:after="120"/>
            </w:pPr>
          </w:p>
        </w:tc>
        <w:tc>
          <w:tcPr>
            <w:tcW w:w="1984" w:type="dxa"/>
          </w:tcPr>
          <w:p w14:paraId="48C7FDFB" w14:textId="77777777" w:rsidR="00F455ED" w:rsidRDefault="00F455ED" w:rsidP="00611F1B">
            <w:pPr>
              <w:spacing w:before="120" w:after="120"/>
            </w:pPr>
          </w:p>
        </w:tc>
        <w:tc>
          <w:tcPr>
            <w:tcW w:w="2835" w:type="dxa"/>
          </w:tcPr>
          <w:p w14:paraId="3B675F6C" w14:textId="77777777" w:rsidR="00F455ED" w:rsidRDefault="00F455ED" w:rsidP="00611F1B">
            <w:pPr>
              <w:spacing w:before="120" w:after="120"/>
            </w:pPr>
          </w:p>
        </w:tc>
        <w:tc>
          <w:tcPr>
            <w:tcW w:w="3828" w:type="dxa"/>
          </w:tcPr>
          <w:p w14:paraId="07C498E4" w14:textId="77777777" w:rsidR="00F455ED" w:rsidRDefault="00F455ED" w:rsidP="00611F1B">
            <w:pPr>
              <w:spacing w:before="120" w:after="120"/>
            </w:pPr>
          </w:p>
          <w:p w14:paraId="1C2A1076" w14:textId="77777777" w:rsidR="00F455ED" w:rsidRDefault="00F455ED" w:rsidP="00611F1B">
            <w:pPr>
              <w:spacing w:before="120" w:after="120"/>
            </w:pPr>
          </w:p>
          <w:p w14:paraId="14C64A19" w14:textId="77777777" w:rsidR="00F455ED" w:rsidRDefault="00F455ED" w:rsidP="00611F1B">
            <w:pPr>
              <w:spacing w:before="120" w:after="120"/>
            </w:pPr>
          </w:p>
          <w:p w14:paraId="161562A6" w14:textId="77777777" w:rsidR="00F455ED" w:rsidRDefault="00F455ED" w:rsidP="00611F1B">
            <w:pPr>
              <w:spacing w:before="120" w:after="120"/>
            </w:pPr>
          </w:p>
        </w:tc>
      </w:tr>
      <w:tr w:rsidR="00F455ED" w14:paraId="53D6CDBC" w14:textId="77777777" w:rsidTr="009F1527">
        <w:trPr>
          <w:jc w:val="center"/>
        </w:trPr>
        <w:tc>
          <w:tcPr>
            <w:tcW w:w="1696" w:type="dxa"/>
          </w:tcPr>
          <w:p w14:paraId="49684798" w14:textId="77777777" w:rsidR="00F455ED" w:rsidRDefault="00F455ED" w:rsidP="00611F1B">
            <w:pPr>
              <w:spacing w:before="120" w:after="120"/>
            </w:pPr>
          </w:p>
        </w:tc>
        <w:tc>
          <w:tcPr>
            <w:tcW w:w="1985" w:type="dxa"/>
          </w:tcPr>
          <w:p w14:paraId="408F8083" w14:textId="77777777" w:rsidR="00F455ED" w:rsidRDefault="00F455ED" w:rsidP="00611F1B">
            <w:pPr>
              <w:spacing w:before="120" w:after="120"/>
            </w:pPr>
          </w:p>
        </w:tc>
        <w:tc>
          <w:tcPr>
            <w:tcW w:w="1984" w:type="dxa"/>
          </w:tcPr>
          <w:p w14:paraId="5C4209D0" w14:textId="77777777" w:rsidR="00F455ED" w:rsidRDefault="00F455ED" w:rsidP="00611F1B">
            <w:pPr>
              <w:spacing w:before="120" w:after="120"/>
            </w:pPr>
          </w:p>
        </w:tc>
        <w:tc>
          <w:tcPr>
            <w:tcW w:w="2835" w:type="dxa"/>
          </w:tcPr>
          <w:p w14:paraId="6C7F63CD" w14:textId="77777777" w:rsidR="00F455ED" w:rsidRDefault="00F455ED" w:rsidP="00611F1B">
            <w:pPr>
              <w:spacing w:before="120" w:after="120"/>
            </w:pPr>
          </w:p>
        </w:tc>
        <w:tc>
          <w:tcPr>
            <w:tcW w:w="3828" w:type="dxa"/>
          </w:tcPr>
          <w:p w14:paraId="6E24973F" w14:textId="77777777" w:rsidR="00F455ED" w:rsidRDefault="00F455ED" w:rsidP="00611F1B">
            <w:pPr>
              <w:spacing w:before="120" w:after="120"/>
            </w:pPr>
          </w:p>
          <w:p w14:paraId="0CCB3BC2" w14:textId="77777777" w:rsidR="00F455ED" w:rsidRDefault="00F455ED" w:rsidP="00611F1B">
            <w:pPr>
              <w:spacing w:before="120" w:after="120"/>
            </w:pPr>
          </w:p>
          <w:p w14:paraId="6BC03C4B" w14:textId="77777777" w:rsidR="00F455ED" w:rsidRDefault="00F455ED" w:rsidP="00611F1B">
            <w:pPr>
              <w:spacing w:before="120" w:after="120"/>
            </w:pPr>
          </w:p>
          <w:p w14:paraId="48D5F9A3" w14:textId="77777777" w:rsidR="00F455ED" w:rsidRDefault="00F455ED" w:rsidP="00611F1B">
            <w:pPr>
              <w:spacing w:before="120" w:after="120"/>
            </w:pPr>
          </w:p>
        </w:tc>
      </w:tr>
      <w:tr w:rsidR="00F455ED" w14:paraId="36C3226B" w14:textId="77777777" w:rsidTr="009F1527">
        <w:trPr>
          <w:jc w:val="center"/>
        </w:trPr>
        <w:tc>
          <w:tcPr>
            <w:tcW w:w="1696" w:type="dxa"/>
          </w:tcPr>
          <w:p w14:paraId="729F983C" w14:textId="77777777" w:rsidR="00F455ED" w:rsidRDefault="00F455ED" w:rsidP="00611F1B">
            <w:pPr>
              <w:spacing w:before="120" w:after="120"/>
            </w:pPr>
          </w:p>
        </w:tc>
        <w:tc>
          <w:tcPr>
            <w:tcW w:w="1985" w:type="dxa"/>
          </w:tcPr>
          <w:p w14:paraId="6FA0280F" w14:textId="77777777" w:rsidR="00F455ED" w:rsidRDefault="00F455ED" w:rsidP="00611F1B">
            <w:pPr>
              <w:spacing w:before="120" w:after="120"/>
            </w:pPr>
          </w:p>
        </w:tc>
        <w:tc>
          <w:tcPr>
            <w:tcW w:w="1984" w:type="dxa"/>
          </w:tcPr>
          <w:p w14:paraId="6E2DC7CD" w14:textId="77777777" w:rsidR="00F455ED" w:rsidRDefault="00F455ED" w:rsidP="00611F1B">
            <w:pPr>
              <w:spacing w:before="120" w:after="120"/>
            </w:pPr>
          </w:p>
        </w:tc>
        <w:tc>
          <w:tcPr>
            <w:tcW w:w="2835" w:type="dxa"/>
          </w:tcPr>
          <w:p w14:paraId="6D56E327" w14:textId="77777777" w:rsidR="00F455ED" w:rsidRDefault="00F455ED" w:rsidP="00611F1B">
            <w:pPr>
              <w:spacing w:before="120" w:after="120"/>
            </w:pPr>
          </w:p>
        </w:tc>
        <w:tc>
          <w:tcPr>
            <w:tcW w:w="3828" w:type="dxa"/>
          </w:tcPr>
          <w:p w14:paraId="39554DB9" w14:textId="77777777" w:rsidR="00F455ED" w:rsidRDefault="00F455ED" w:rsidP="00611F1B">
            <w:pPr>
              <w:spacing w:before="120" w:after="120"/>
            </w:pPr>
          </w:p>
          <w:p w14:paraId="1893841B" w14:textId="77777777" w:rsidR="00F455ED" w:rsidRDefault="00F455ED" w:rsidP="00611F1B">
            <w:pPr>
              <w:spacing w:before="120" w:after="120"/>
            </w:pPr>
          </w:p>
          <w:p w14:paraId="6E3FC7BD" w14:textId="77777777" w:rsidR="00F455ED" w:rsidRDefault="00F455ED" w:rsidP="00611F1B">
            <w:pPr>
              <w:spacing w:before="120" w:after="120"/>
            </w:pPr>
          </w:p>
          <w:p w14:paraId="1FDE85E3" w14:textId="77777777" w:rsidR="00F455ED" w:rsidRDefault="00F455ED" w:rsidP="00611F1B">
            <w:pPr>
              <w:spacing w:before="120" w:after="120"/>
            </w:pPr>
          </w:p>
        </w:tc>
      </w:tr>
      <w:tr w:rsidR="00F455ED" w14:paraId="13C41C26" w14:textId="77777777" w:rsidTr="009F1527">
        <w:trPr>
          <w:jc w:val="center"/>
        </w:trPr>
        <w:tc>
          <w:tcPr>
            <w:tcW w:w="1696" w:type="dxa"/>
          </w:tcPr>
          <w:p w14:paraId="770C2B40" w14:textId="77777777" w:rsidR="00F455ED" w:rsidRDefault="00F455ED" w:rsidP="00611F1B">
            <w:pPr>
              <w:spacing w:before="120" w:after="120"/>
            </w:pPr>
          </w:p>
        </w:tc>
        <w:tc>
          <w:tcPr>
            <w:tcW w:w="1985" w:type="dxa"/>
          </w:tcPr>
          <w:p w14:paraId="28E421EC" w14:textId="77777777" w:rsidR="00F455ED" w:rsidRDefault="00F455ED" w:rsidP="00611F1B">
            <w:pPr>
              <w:spacing w:before="120" w:after="120"/>
            </w:pPr>
          </w:p>
        </w:tc>
        <w:tc>
          <w:tcPr>
            <w:tcW w:w="1984" w:type="dxa"/>
          </w:tcPr>
          <w:p w14:paraId="52F63552" w14:textId="77777777" w:rsidR="00F455ED" w:rsidRDefault="00F455ED" w:rsidP="00611F1B">
            <w:pPr>
              <w:spacing w:before="120" w:after="120"/>
            </w:pPr>
          </w:p>
        </w:tc>
        <w:tc>
          <w:tcPr>
            <w:tcW w:w="2835" w:type="dxa"/>
          </w:tcPr>
          <w:p w14:paraId="4A687BC8" w14:textId="77777777" w:rsidR="00F455ED" w:rsidRDefault="00F455ED" w:rsidP="00611F1B">
            <w:pPr>
              <w:spacing w:before="120" w:after="120"/>
            </w:pPr>
          </w:p>
        </w:tc>
        <w:tc>
          <w:tcPr>
            <w:tcW w:w="3828" w:type="dxa"/>
          </w:tcPr>
          <w:p w14:paraId="25617E33" w14:textId="77777777" w:rsidR="00F455ED" w:rsidRDefault="00F455ED" w:rsidP="00611F1B">
            <w:pPr>
              <w:spacing w:before="120" w:after="120"/>
            </w:pPr>
          </w:p>
          <w:p w14:paraId="28333C80" w14:textId="77777777" w:rsidR="00F455ED" w:rsidRDefault="00F455ED" w:rsidP="00611F1B">
            <w:pPr>
              <w:spacing w:before="120" w:after="120"/>
            </w:pPr>
          </w:p>
          <w:p w14:paraId="50A4C966" w14:textId="77777777" w:rsidR="00F455ED" w:rsidRDefault="00F455ED" w:rsidP="00611F1B">
            <w:pPr>
              <w:spacing w:before="120" w:after="120"/>
            </w:pPr>
          </w:p>
          <w:p w14:paraId="5CCF3228" w14:textId="77777777" w:rsidR="00F455ED" w:rsidRDefault="00F455ED" w:rsidP="00611F1B">
            <w:pPr>
              <w:spacing w:before="120" w:after="120"/>
            </w:pPr>
          </w:p>
        </w:tc>
      </w:tr>
    </w:tbl>
    <w:p w14:paraId="0B18AED0" w14:textId="0F5024ED" w:rsidR="00F455ED" w:rsidRDefault="00F455ED" w:rsidP="00611F1B">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A8619" w14:textId="77777777" w:rsidR="0002715D" w:rsidRDefault="0002715D" w:rsidP="00807ED0">
      <w:pPr>
        <w:spacing w:after="0" w:line="240" w:lineRule="auto"/>
      </w:pPr>
      <w:r>
        <w:separator/>
      </w:r>
    </w:p>
  </w:endnote>
  <w:endnote w:type="continuationSeparator" w:id="0">
    <w:p w14:paraId="27358179" w14:textId="77777777" w:rsidR="0002715D" w:rsidRDefault="0002715D"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55867"/>
      <w:docPartObj>
        <w:docPartGallery w:val="Page Numbers (Bottom of Page)"/>
        <w:docPartUnique/>
      </w:docPartObj>
    </w:sdtPr>
    <w:sdtEndPr/>
    <w:sdtContent>
      <w:p w14:paraId="1B2F0C2A" w14:textId="6C239AD6" w:rsidR="009F1527" w:rsidRDefault="009F1527">
        <w:pPr>
          <w:pStyle w:val="Piedepgina"/>
          <w:jc w:val="center"/>
        </w:pPr>
        <w:r>
          <w:fldChar w:fldCharType="begin"/>
        </w:r>
        <w:r>
          <w:instrText>PAGE   \* MERGEFORMAT</w:instrText>
        </w:r>
        <w:r>
          <w:fldChar w:fldCharType="separate"/>
        </w:r>
        <w:r w:rsidR="00D97C20" w:rsidRPr="00D97C20">
          <w:rPr>
            <w:noProof/>
            <w:lang w:val="es-ES"/>
          </w:rPr>
          <w:t>4</w:t>
        </w:r>
        <w:r>
          <w:fldChar w:fldCharType="end"/>
        </w:r>
      </w:p>
    </w:sdtContent>
  </w:sdt>
  <w:p w14:paraId="398B8749" w14:textId="77777777" w:rsidR="009F1527" w:rsidRDefault="009F15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4F99D" w14:textId="77777777" w:rsidR="0002715D" w:rsidRDefault="0002715D" w:rsidP="00807ED0">
      <w:pPr>
        <w:spacing w:after="0" w:line="240" w:lineRule="auto"/>
      </w:pPr>
      <w:r>
        <w:separator/>
      </w:r>
    </w:p>
  </w:footnote>
  <w:footnote w:type="continuationSeparator" w:id="0">
    <w:p w14:paraId="3A235A4B" w14:textId="77777777" w:rsidR="0002715D" w:rsidRDefault="0002715D"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E599" w14:textId="299AA81D" w:rsidR="009F1527" w:rsidRDefault="009F152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9F1527" w:rsidRDefault="009F1527" w:rsidP="00AF04D7">
    <w:pPr>
      <w:pStyle w:val="HeaderEven"/>
      <w:ind w:left="993"/>
      <w:rPr>
        <w:szCs w:val="20"/>
      </w:rPr>
    </w:pPr>
    <w:r>
      <w:rPr>
        <w:szCs w:val="20"/>
      </w:rPr>
      <w:t>Intendencia de Seguridad y Salud en el Trabajo</w:t>
    </w:r>
  </w:p>
  <w:p w14:paraId="4AAA7177" w14:textId="753912FF" w:rsidR="009F1527" w:rsidRPr="00AF04D7" w:rsidRDefault="009F1527">
    <w:pPr>
      <w:pStyle w:val="Encabezado"/>
      <w:rPr>
        <w:lang w:val="es-ES"/>
      </w:rPr>
    </w:pPr>
  </w:p>
  <w:p w14:paraId="0E010513" w14:textId="77777777" w:rsidR="009F1527" w:rsidRDefault="009F15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82812DF"/>
    <w:multiLevelType w:val="hybridMultilevel"/>
    <w:tmpl w:val="74647DD8"/>
    <w:lvl w:ilvl="0" w:tplc="340A0017">
      <w:start w:val="1"/>
      <w:numFmt w:val="lowerLetter"/>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9C"/>
    <w:rsid w:val="0002715D"/>
    <w:rsid w:val="00037E2D"/>
    <w:rsid w:val="000507D4"/>
    <w:rsid w:val="00055352"/>
    <w:rsid w:val="00056EB5"/>
    <w:rsid w:val="00071341"/>
    <w:rsid w:val="00081434"/>
    <w:rsid w:val="00084638"/>
    <w:rsid w:val="00085F6E"/>
    <w:rsid w:val="00107E1D"/>
    <w:rsid w:val="00113D3F"/>
    <w:rsid w:val="00124062"/>
    <w:rsid w:val="001240E3"/>
    <w:rsid w:val="00160560"/>
    <w:rsid w:val="00183CC0"/>
    <w:rsid w:val="001910DD"/>
    <w:rsid w:val="00197805"/>
    <w:rsid w:val="001C7E50"/>
    <w:rsid w:val="001F03AE"/>
    <w:rsid w:val="0021552F"/>
    <w:rsid w:val="00217C65"/>
    <w:rsid w:val="00267CC4"/>
    <w:rsid w:val="00273D5B"/>
    <w:rsid w:val="002A0018"/>
    <w:rsid w:val="002A71C9"/>
    <w:rsid w:val="002D3539"/>
    <w:rsid w:val="002E1694"/>
    <w:rsid w:val="002F3EE4"/>
    <w:rsid w:val="002F5BEA"/>
    <w:rsid w:val="00307A84"/>
    <w:rsid w:val="003108B2"/>
    <w:rsid w:val="003416E4"/>
    <w:rsid w:val="00344277"/>
    <w:rsid w:val="003510DD"/>
    <w:rsid w:val="00386BA8"/>
    <w:rsid w:val="00397EB0"/>
    <w:rsid w:val="003A4E79"/>
    <w:rsid w:val="003C5C11"/>
    <w:rsid w:val="003D236F"/>
    <w:rsid w:val="003F10AD"/>
    <w:rsid w:val="00436865"/>
    <w:rsid w:val="0049763D"/>
    <w:rsid w:val="004A175F"/>
    <w:rsid w:val="004A3AFB"/>
    <w:rsid w:val="004B2AE6"/>
    <w:rsid w:val="004B6D96"/>
    <w:rsid w:val="004C514E"/>
    <w:rsid w:val="004D324A"/>
    <w:rsid w:val="004D3971"/>
    <w:rsid w:val="004E5A19"/>
    <w:rsid w:val="004F38DF"/>
    <w:rsid w:val="005133CE"/>
    <w:rsid w:val="005262E2"/>
    <w:rsid w:val="00563497"/>
    <w:rsid w:val="00611F1B"/>
    <w:rsid w:val="006634D8"/>
    <w:rsid w:val="00670BFC"/>
    <w:rsid w:val="006A1900"/>
    <w:rsid w:val="006F330D"/>
    <w:rsid w:val="0072178D"/>
    <w:rsid w:val="007240FD"/>
    <w:rsid w:val="00733616"/>
    <w:rsid w:val="00733B37"/>
    <w:rsid w:val="0075532F"/>
    <w:rsid w:val="0078545B"/>
    <w:rsid w:val="00785946"/>
    <w:rsid w:val="007B0E0C"/>
    <w:rsid w:val="007B2F73"/>
    <w:rsid w:val="007E7BC1"/>
    <w:rsid w:val="008002E8"/>
    <w:rsid w:val="00807ED0"/>
    <w:rsid w:val="008106D2"/>
    <w:rsid w:val="008257A2"/>
    <w:rsid w:val="0083133C"/>
    <w:rsid w:val="00877956"/>
    <w:rsid w:val="008A503B"/>
    <w:rsid w:val="008B5634"/>
    <w:rsid w:val="008C28D5"/>
    <w:rsid w:val="008C4414"/>
    <w:rsid w:val="008D1065"/>
    <w:rsid w:val="008D3DB3"/>
    <w:rsid w:val="008F10DB"/>
    <w:rsid w:val="00917FE0"/>
    <w:rsid w:val="0092657C"/>
    <w:rsid w:val="00974E94"/>
    <w:rsid w:val="00983360"/>
    <w:rsid w:val="00983BA0"/>
    <w:rsid w:val="00990B99"/>
    <w:rsid w:val="009A39F6"/>
    <w:rsid w:val="009B7330"/>
    <w:rsid w:val="009D0C00"/>
    <w:rsid w:val="009E3F44"/>
    <w:rsid w:val="009E5760"/>
    <w:rsid w:val="009F1527"/>
    <w:rsid w:val="009F46AD"/>
    <w:rsid w:val="00A039D3"/>
    <w:rsid w:val="00A071EE"/>
    <w:rsid w:val="00A119D1"/>
    <w:rsid w:val="00A237EC"/>
    <w:rsid w:val="00A33652"/>
    <w:rsid w:val="00A36E4E"/>
    <w:rsid w:val="00A45B9C"/>
    <w:rsid w:val="00A54962"/>
    <w:rsid w:val="00A62422"/>
    <w:rsid w:val="00A83763"/>
    <w:rsid w:val="00AC2A04"/>
    <w:rsid w:val="00AF04D7"/>
    <w:rsid w:val="00B024A2"/>
    <w:rsid w:val="00B03110"/>
    <w:rsid w:val="00B13C12"/>
    <w:rsid w:val="00B317D3"/>
    <w:rsid w:val="00B35DB0"/>
    <w:rsid w:val="00B365C9"/>
    <w:rsid w:val="00B36EBE"/>
    <w:rsid w:val="00B64BF5"/>
    <w:rsid w:val="00B73E83"/>
    <w:rsid w:val="00B7446B"/>
    <w:rsid w:val="00B84A94"/>
    <w:rsid w:val="00BB3483"/>
    <w:rsid w:val="00BC2129"/>
    <w:rsid w:val="00BE300C"/>
    <w:rsid w:val="00BF0297"/>
    <w:rsid w:val="00C00F6A"/>
    <w:rsid w:val="00C01815"/>
    <w:rsid w:val="00C238D3"/>
    <w:rsid w:val="00C35B22"/>
    <w:rsid w:val="00C60C7C"/>
    <w:rsid w:val="00CC174C"/>
    <w:rsid w:val="00D426DE"/>
    <w:rsid w:val="00D644CE"/>
    <w:rsid w:val="00D74401"/>
    <w:rsid w:val="00D9613F"/>
    <w:rsid w:val="00D97C20"/>
    <w:rsid w:val="00DB123A"/>
    <w:rsid w:val="00DB1DEF"/>
    <w:rsid w:val="00DB4FEB"/>
    <w:rsid w:val="00DD7884"/>
    <w:rsid w:val="00DF4DB7"/>
    <w:rsid w:val="00E11150"/>
    <w:rsid w:val="00E358D2"/>
    <w:rsid w:val="00E4245E"/>
    <w:rsid w:val="00E77A75"/>
    <w:rsid w:val="00ED7BC0"/>
    <w:rsid w:val="00F03DBB"/>
    <w:rsid w:val="00F3484E"/>
    <w:rsid w:val="00F353C0"/>
    <w:rsid w:val="00F4243D"/>
    <w:rsid w:val="00F44745"/>
    <w:rsid w:val="00F455ED"/>
    <w:rsid w:val="00F63C41"/>
    <w:rsid w:val="00F77C3A"/>
    <w:rsid w:val="00F85D76"/>
    <w:rsid w:val="00FA26DE"/>
    <w:rsid w:val="00FA3D51"/>
    <w:rsid w:val="00FA4566"/>
    <w:rsid w:val="00FA4FAB"/>
    <w:rsid w:val="00FC03AA"/>
    <w:rsid w:val="00FF0D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223FEA14-9C48-416E-AF66-B85A6A1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Bullet Number"/>
    <w:basedOn w:val="Normal"/>
    <w:link w:val="PrrafodelistaCar"/>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 w:type="character" w:customStyle="1" w:styleId="PrrafodelistaCar">
    <w:name w:val="Párrafo de lista Car"/>
    <w:aliases w:val="viñeta Car,Bullet Number Car"/>
    <w:link w:val="Prrafodelista"/>
    <w:uiPriority w:val="34"/>
    <w:locked/>
    <w:rsid w:val="00B0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721</Words>
  <Characters>3969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Fabián Ramirez</dc:creator>
  <cp:lastModifiedBy>Erick Aguilera</cp:lastModifiedBy>
  <cp:revision>8</cp:revision>
  <dcterms:created xsi:type="dcterms:W3CDTF">2025-11-21T14:49:00Z</dcterms:created>
  <dcterms:modified xsi:type="dcterms:W3CDTF">2025-11-21T19:14:00Z</dcterms:modified>
</cp:coreProperties>
</file>